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683767278"/>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894"/>
          </w:tblGrid>
          <w:tr w:rsidR="008F03EA">
            <w:sdt>
              <w:sdtPr>
                <w:rPr>
                  <w:rFonts w:asciiTheme="majorHAnsi" w:eastAsiaTheme="majorEastAsia" w:hAnsiTheme="majorHAnsi" w:cstheme="majorBidi"/>
                </w:rPr>
                <w:alias w:val="Firma"/>
                <w:id w:val="13406915"/>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8F03EA" w:rsidRDefault="008F03EA" w:rsidP="008F03EA">
                    <w:pPr>
                      <w:pStyle w:val="Ingenafstand"/>
                      <w:rPr>
                        <w:rFonts w:asciiTheme="majorHAnsi" w:eastAsiaTheme="majorEastAsia" w:hAnsiTheme="majorHAnsi" w:cstheme="majorBidi"/>
                      </w:rPr>
                    </w:pPr>
                    <w:r>
                      <w:rPr>
                        <w:rFonts w:asciiTheme="majorHAnsi" w:eastAsiaTheme="majorEastAsia" w:hAnsiTheme="majorHAnsi" w:cstheme="majorBidi"/>
                      </w:rPr>
                      <w:t xml:space="preserve">Mads Svendsen &amp; Asger </w:t>
                    </w:r>
                    <w:proofErr w:type="spellStart"/>
                    <w:r>
                      <w:rPr>
                        <w:rFonts w:asciiTheme="majorHAnsi" w:eastAsiaTheme="majorEastAsia" w:hAnsiTheme="majorHAnsi" w:cstheme="majorBidi"/>
                      </w:rPr>
                      <w:t>Vibel</w:t>
                    </w:r>
                    <w:proofErr w:type="spellEnd"/>
                  </w:p>
                </w:tc>
              </w:sdtContent>
            </w:sdt>
          </w:tr>
          <w:tr w:rsidR="008F03EA">
            <w:tc>
              <w:tcPr>
                <w:tcW w:w="7672" w:type="dxa"/>
              </w:tcPr>
              <w:sdt>
                <w:sdtPr>
                  <w:rPr>
                    <w:rFonts w:asciiTheme="majorHAnsi" w:eastAsiaTheme="majorEastAsia" w:hAnsiTheme="majorHAnsi" w:cstheme="majorBidi"/>
                    <w:color w:val="4F81BD" w:themeColor="accent1"/>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8F03EA" w:rsidRDefault="008F03EA" w:rsidP="008F03EA">
                    <w:pPr>
                      <w:pStyle w:val="Ing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A/M Invest</w:t>
                    </w:r>
                  </w:p>
                </w:sdtContent>
              </w:sdt>
            </w:tc>
          </w:tr>
          <w:tr w:rsidR="008F03EA">
            <w:sdt>
              <w:sdtPr>
                <w:rPr>
                  <w:rFonts w:asciiTheme="majorHAnsi" w:eastAsiaTheme="majorEastAsia" w:hAnsiTheme="majorHAnsi" w:cstheme="majorBidi"/>
                </w:rPr>
                <w:alias w:val="Undertitel"/>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8F03EA" w:rsidRDefault="008F03EA" w:rsidP="008F03EA">
                    <w:pPr>
                      <w:pStyle w:val="Ingenafstand"/>
                      <w:rPr>
                        <w:rFonts w:asciiTheme="majorHAnsi" w:eastAsiaTheme="majorEastAsia" w:hAnsiTheme="majorHAnsi" w:cstheme="majorBidi"/>
                      </w:rPr>
                    </w:pPr>
                    <w:r>
                      <w:rPr>
                        <w:rFonts w:asciiTheme="majorHAnsi" w:eastAsiaTheme="majorEastAsia" w:hAnsiTheme="majorHAnsi" w:cstheme="majorBidi"/>
                      </w:rPr>
                      <w:t>Investeringsprofil</w:t>
                    </w:r>
                  </w:p>
                </w:tc>
              </w:sdtContent>
            </w:sdt>
          </w:tr>
        </w:tbl>
        <w:p w:rsidR="008F03EA" w:rsidRDefault="008F03EA"/>
        <w:p w:rsidR="008F03EA" w:rsidRDefault="008F03EA"/>
        <w:tbl>
          <w:tblPr>
            <w:tblpPr w:leftFromText="187" w:rightFromText="187" w:horzAnchor="margin" w:tblpXSpec="center" w:tblpYSpec="bottom"/>
            <w:tblW w:w="4000" w:type="pct"/>
            <w:tblLook w:val="04A0"/>
          </w:tblPr>
          <w:tblGrid>
            <w:gridCol w:w="7894"/>
          </w:tblGrid>
          <w:tr w:rsidR="008F03EA">
            <w:tc>
              <w:tcPr>
                <w:tcW w:w="7672" w:type="dxa"/>
                <w:tcMar>
                  <w:top w:w="216" w:type="dxa"/>
                  <w:left w:w="115" w:type="dxa"/>
                  <w:bottom w:w="216" w:type="dxa"/>
                  <w:right w:w="115" w:type="dxa"/>
                </w:tcMar>
              </w:tcPr>
              <w:sdt>
                <w:sdtPr>
                  <w:rPr>
                    <w:color w:val="4F81BD" w:themeColor="accent1"/>
                  </w:rPr>
                  <w:alias w:val="Forfatter"/>
                  <w:id w:val="13406928"/>
                  <w:dataBinding w:prefixMappings="xmlns:ns0='http://schemas.openxmlformats.org/package/2006/metadata/core-properties' xmlns:ns1='http://purl.org/dc/elements/1.1/'" w:xpath="/ns0:coreProperties[1]/ns1:creator[1]" w:storeItemID="{6C3C8BC8-F283-45AE-878A-BAB7291924A1}"/>
                  <w:text/>
                </w:sdtPr>
                <w:sdtContent>
                  <w:p w:rsidR="008F03EA" w:rsidRDefault="008F03EA">
                    <w:pPr>
                      <w:pStyle w:val="Ingenafstand"/>
                      <w:rPr>
                        <w:color w:val="4F81BD" w:themeColor="accent1"/>
                      </w:rPr>
                    </w:pPr>
                    <w:r>
                      <w:rPr>
                        <w:color w:val="4F81BD" w:themeColor="accent1"/>
                      </w:rPr>
                      <w:t xml:space="preserve">Mads </w:t>
                    </w:r>
                    <w:proofErr w:type="gramStart"/>
                    <w:r>
                      <w:rPr>
                        <w:color w:val="4F81BD" w:themeColor="accent1"/>
                      </w:rPr>
                      <w:t>Svendsen  &amp;</w:t>
                    </w:r>
                    <w:proofErr w:type="gramEnd"/>
                    <w:r>
                      <w:rPr>
                        <w:color w:val="4F81BD" w:themeColor="accent1"/>
                      </w:rPr>
                      <w:t xml:space="preserve"> Asger </w:t>
                    </w:r>
                    <w:proofErr w:type="spellStart"/>
                    <w:r>
                      <w:rPr>
                        <w:color w:val="4F81BD" w:themeColor="accent1"/>
                      </w:rPr>
                      <w:t>Vibel</w:t>
                    </w:r>
                    <w:proofErr w:type="spellEnd"/>
                  </w:p>
                </w:sdtContent>
              </w:sdt>
              <w:sdt>
                <w:sdtPr>
                  <w:rPr>
                    <w:color w:val="4F81BD" w:themeColor="accent1"/>
                  </w:rPr>
                  <w:alias w:val="Dato"/>
                  <w:id w:val="13406932"/>
                  <w:dataBinding w:prefixMappings="xmlns:ns0='http://schemas.microsoft.com/office/2006/coverPageProps'" w:xpath="/ns0:CoverPageProperties[1]/ns0:PublishDate[1]" w:storeItemID="{55AF091B-3C7A-41E3-B477-F2FDAA23CFDA}"/>
                  <w:date w:fullDate="2010-10-08T00:00:00Z">
                    <w:dateFormat w:val="dd-MM-yyyy"/>
                    <w:lid w:val="da-DK"/>
                    <w:storeMappedDataAs w:val="dateTime"/>
                    <w:calendar w:val="gregorian"/>
                  </w:date>
                </w:sdtPr>
                <w:sdtContent>
                  <w:p w:rsidR="008F03EA" w:rsidRDefault="008F03EA">
                    <w:pPr>
                      <w:pStyle w:val="Ingenafstand"/>
                      <w:rPr>
                        <w:color w:val="4F81BD" w:themeColor="accent1"/>
                      </w:rPr>
                    </w:pPr>
                    <w:r>
                      <w:rPr>
                        <w:color w:val="4F81BD" w:themeColor="accent1"/>
                      </w:rPr>
                      <w:t>08-10-2010</w:t>
                    </w:r>
                  </w:p>
                </w:sdtContent>
              </w:sdt>
              <w:p w:rsidR="008F03EA" w:rsidRDefault="008F03EA">
                <w:pPr>
                  <w:pStyle w:val="Ingenafstand"/>
                  <w:rPr>
                    <w:color w:val="4F81BD" w:themeColor="accent1"/>
                  </w:rPr>
                </w:pPr>
              </w:p>
            </w:tc>
          </w:tr>
        </w:tbl>
        <w:p w:rsidR="008F03EA" w:rsidRDefault="008F03EA"/>
        <w:p w:rsidR="008F03EA" w:rsidRDefault="008F03EA">
          <w:r>
            <w:br w:type="page"/>
          </w:r>
        </w:p>
      </w:sdtContent>
    </w:sdt>
    <w:sdt>
      <w:sdtPr>
        <w:rPr>
          <w:rFonts w:asciiTheme="minorHAnsi" w:eastAsiaTheme="minorHAnsi" w:hAnsiTheme="minorHAnsi" w:cstheme="minorBidi"/>
          <w:b w:val="0"/>
          <w:bCs w:val="0"/>
          <w:color w:val="auto"/>
          <w:sz w:val="22"/>
          <w:szCs w:val="22"/>
        </w:rPr>
        <w:id w:val="683767308"/>
        <w:docPartObj>
          <w:docPartGallery w:val="Table of Contents"/>
          <w:docPartUnique/>
        </w:docPartObj>
      </w:sdtPr>
      <w:sdtContent>
        <w:p w:rsidR="008F03EA" w:rsidRDefault="008F03EA">
          <w:pPr>
            <w:pStyle w:val="Overskrift"/>
          </w:pPr>
          <w:r>
            <w:t>Indholdsfortegnelse</w:t>
          </w:r>
        </w:p>
        <w:p w:rsidR="00E2009A" w:rsidRDefault="0028211C" w:rsidP="00AD52D7">
          <w:pPr>
            <w:pStyle w:val="Indholdsfortegnelse1"/>
            <w:rPr>
              <w:rFonts w:eastAsiaTheme="minorEastAsia"/>
              <w:lang w:eastAsia="da-DK"/>
            </w:rPr>
          </w:pPr>
          <w:r>
            <w:fldChar w:fldCharType="begin"/>
          </w:r>
          <w:r w:rsidR="008F03EA">
            <w:instrText xml:space="preserve"> TOC \o "1-3" \h \z \u </w:instrText>
          </w:r>
          <w:r>
            <w:fldChar w:fldCharType="separate"/>
          </w:r>
          <w:hyperlink w:anchor="_Toc277530008" w:history="1">
            <w:r w:rsidR="00E2009A" w:rsidRPr="0009442A">
              <w:rPr>
                <w:rStyle w:val="Hyperlink"/>
              </w:rPr>
              <w:t>Introduktion:</w:t>
            </w:r>
            <w:r w:rsidR="00E2009A">
              <w:rPr>
                <w:webHidden/>
              </w:rPr>
              <w:tab/>
            </w:r>
            <w:r w:rsidR="00E2009A">
              <w:rPr>
                <w:webHidden/>
              </w:rPr>
              <w:fldChar w:fldCharType="begin"/>
            </w:r>
            <w:r w:rsidR="00E2009A">
              <w:rPr>
                <w:webHidden/>
              </w:rPr>
              <w:instrText xml:space="preserve"> PAGEREF _Toc277530008 \h </w:instrText>
            </w:r>
            <w:r w:rsidR="00E2009A">
              <w:rPr>
                <w:webHidden/>
              </w:rPr>
            </w:r>
            <w:r w:rsidR="00E2009A">
              <w:rPr>
                <w:webHidden/>
              </w:rPr>
              <w:fldChar w:fldCharType="separate"/>
            </w:r>
            <w:r w:rsidR="00E2009A">
              <w:rPr>
                <w:webHidden/>
              </w:rPr>
              <w:t>3</w:t>
            </w:r>
            <w:r w:rsidR="00E2009A">
              <w:rPr>
                <w:webHidden/>
              </w:rPr>
              <w:fldChar w:fldCharType="end"/>
            </w:r>
          </w:hyperlink>
        </w:p>
        <w:p w:rsidR="00E2009A" w:rsidRDefault="00E2009A" w:rsidP="00AD52D7">
          <w:pPr>
            <w:pStyle w:val="Indholdsfortegnelse1"/>
            <w:rPr>
              <w:rFonts w:eastAsiaTheme="minorEastAsia"/>
              <w:lang w:eastAsia="da-DK"/>
            </w:rPr>
          </w:pPr>
          <w:hyperlink w:anchor="_Toc277530009" w:history="1">
            <w:r w:rsidRPr="0009442A">
              <w:rPr>
                <w:rStyle w:val="Hyperlink"/>
              </w:rPr>
              <w:t>Handleplan:</w:t>
            </w:r>
            <w:r>
              <w:rPr>
                <w:webHidden/>
              </w:rPr>
              <w:tab/>
            </w:r>
            <w:r>
              <w:rPr>
                <w:webHidden/>
              </w:rPr>
              <w:fldChar w:fldCharType="begin"/>
            </w:r>
            <w:r>
              <w:rPr>
                <w:webHidden/>
              </w:rPr>
              <w:instrText xml:space="preserve"> PAGEREF _Toc277530009 \h </w:instrText>
            </w:r>
            <w:r>
              <w:rPr>
                <w:webHidden/>
              </w:rPr>
            </w:r>
            <w:r>
              <w:rPr>
                <w:webHidden/>
              </w:rPr>
              <w:fldChar w:fldCharType="separate"/>
            </w:r>
            <w:r>
              <w:rPr>
                <w:webHidden/>
              </w:rPr>
              <w:t>3</w:t>
            </w:r>
            <w:r>
              <w:rPr>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10" w:history="1">
            <w:r w:rsidRPr="0009442A">
              <w:rPr>
                <w:rStyle w:val="Hyperlink"/>
                <w:noProof/>
              </w:rPr>
              <w:t>Politik:</w:t>
            </w:r>
            <w:r>
              <w:rPr>
                <w:noProof/>
                <w:webHidden/>
              </w:rPr>
              <w:tab/>
            </w:r>
            <w:r>
              <w:rPr>
                <w:noProof/>
                <w:webHidden/>
              </w:rPr>
              <w:fldChar w:fldCharType="begin"/>
            </w:r>
            <w:r>
              <w:rPr>
                <w:noProof/>
                <w:webHidden/>
              </w:rPr>
              <w:instrText xml:space="preserve"> PAGEREF _Toc277530010 \h </w:instrText>
            </w:r>
            <w:r>
              <w:rPr>
                <w:noProof/>
                <w:webHidden/>
              </w:rPr>
            </w:r>
            <w:r>
              <w:rPr>
                <w:noProof/>
                <w:webHidden/>
              </w:rPr>
              <w:fldChar w:fldCharType="separate"/>
            </w:r>
            <w:r>
              <w:rPr>
                <w:noProof/>
                <w:webHidden/>
              </w:rPr>
              <w:t>3</w:t>
            </w:r>
            <w:r>
              <w:rPr>
                <w:noProof/>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11" w:history="1">
            <w:r w:rsidRPr="0009442A">
              <w:rPr>
                <w:rStyle w:val="Hyperlink"/>
                <w:noProof/>
              </w:rPr>
              <w:t>Strategi:</w:t>
            </w:r>
            <w:r>
              <w:rPr>
                <w:noProof/>
                <w:webHidden/>
              </w:rPr>
              <w:tab/>
            </w:r>
            <w:r>
              <w:rPr>
                <w:noProof/>
                <w:webHidden/>
              </w:rPr>
              <w:fldChar w:fldCharType="begin"/>
            </w:r>
            <w:r>
              <w:rPr>
                <w:noProof/>
                <w:webHidden/>
              </w:rPr>
              <w:instrText xml:space="preserve"> PAGEREF _Toc277530011 \h </w:instrText>
            </w:r>
            <w:r>
              <w:rPr>
                <w:noProof/>
                <w:webHidden/>
              </w:rPr>
            </w:r>
            <w:r>
              <w:rPr>
                <w:noProof/>
                <w:webHidden/>
              </w:rPr>
              <w:fldChar w:fldCharType="separate"/>
            </w:r>
            <w:r>
              <w:rPr>
                <w:noProof/>
                <w:webHidden/>
              </w:rPr>
              <w:t>3</w:t>
            </w:r>
            <w:r>
              <w:rPr>
                <w:noProof/>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12" w:history="1">
            <w:r w:rsidRPr="0009442A">
              <w:rPr>
                <w:rStyle w:val="Hyperlink"/>
                <w:noProof/>
              </w:rPr>
              <w:t>Kontrol:</w:t>
            </w:r>
            <w:r>
              <w:rPr>
                <w:noProof/>
                <w:webHidden/>
              </w:rPr>
              <w:tab/>
            </w:r>
            <w:r>
              <w:rPr>
                <w:noProof/>
                <w:webHidden/>
              </w:rPr>
              <w:fldChar w:fldCharType="begin"/>
            </w:r>
            <w:r>
              <w:rPr>
                <w:noProof/>
                <w:webHidden/>
              </w:rPr>
              <w:instrText xml:space="preserve"> PAGEREF _Toc277530012 \h </w:instrText>
            </w:r>
            <w:r>
              <w:rPr>
                <w:noProof/>
                <w:webHidden/>
              </w:rPr>
            </w:r>
            <w:r>
              <w:rPr>
                <w:noProof/>
                <w:webHidden/>
              </w:rPr>
              <w:fldChar w:fldCharType="separate"/>
            </w:r>
            <w:r>
              <w:rPr>
                <w:noProof/>
                <w:webHidden/>
              </w:rPr>
              <w:t>4</w:t>
            </w:r>
            <w:r>
              <w:rPr>
                <w:noProof/>
                <w:webHidden/>
              </w:rPr>
              <w:fldChar w:fldCharType="end"/>
            </w:r>
          </w:hyperlink>
        </w:p>
        <w:p w:rsidR="00E2009A" w:rsidRPr="00AD52D7" w:rsidRDefault="00E2009A" w:rsidP="00AD52D7">
          <w:pPr>
            <w:pStyle w:val="Indholdsfortegnelse1"/>
            <w:rPr>
              <w:rFonts w:eastAsiaTheme="minorEastAsia"/>
              <w:lang w:eastAsia="da-DK"/>
            </w:rPr>
          </w:pPr>
          <w:hyperlink w:anchor="_Toc277530013" w:history="1">
            <w:r w:rsidRPr="00AD52D7">
              <w:rPr>
                <w:rStyle w:val="Hyperlink"/>
              </w:rPr>
              <w:t>Trin 1, Fundamental Analyse på Nationaløkonomisk niveau:</w:t>
            </w:r>
            <w:r w:rsidRPr="00AD52D7">
              <w:rPr>
                <w:webHidden/>
              </w:rPr>
              <w:tab/>
            </w:r>
            <w:r w:rsidRPr="00AD52D7">
              <w:rPr>
                <w:webHidden/>
              </w:rPr>
              <w:fldChar w:fldCharType="begin"/>
            </w:r>
            <w:r w:rsidRPr="00AD52D7">
              <w:rPr>
                <w:webHidden/>
              </w:rPr>
              <w:instrText xml:space="preserve"> PAGEREF _Toc277530013 \h </w:instrText>
            </w:r>
            <w:r w:rsidRPr="00AD52D7">
              <w:rPr>
                <w:webHidden/>
              </w:rPr>
            </w:r>
            <w:r w:rsidRPr="00AD52D7">
              <w:rPr>
                <w:webHidden/>
              </w:rPr>
              <w:fldChar w:fldCharType="separate"/>
            </w:r>
            <w:r w:rsidRPr="00AD52D7">
              <w:rPr>
                <w:webHidden/>
              </w:rPr>
              <w:t>4</w:t>
            </w:r>
            <w:r w:rsidRPr="00AD52D7">
              <w:rPr>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14" w:history="1">
            <w:r w:rsidRPr="0009442A">
              <w:rPr>
                <w:rStyle w:val="Hyperlink"/>
                <w:noProof/>
              </w:rPr>
              <w:t>Nationaløkonomisk niveau:</w:t>
            </w:r>
            <w:r>
              <w:rPr>
                <w:noProof/>
                <w:webHidden/>
              </w:rPr>
              <w:tab/>
            </w:r>
            <w:r>
              <w:rPr>
                <w:noProof/>
                <w:webHidden/>
              </w:rPr>
              <w:fldChar w:fldCharType="begin"/>
            </w:r>
            <w:r>
              <w:rPr>
                <w:noProof/>
                <w:webHidden/>
              </w:rPr>
              <w:instrText xml:space="preserve"> PAGEREF _Toc277530014 \h </w:instrText>
            </w:r>
            <w:r>
              <w:rPr>
                <w:noProof/>
                <w:webHidden/>
              </w:rPr>
            </w:r>
            <w:r>
              <w:rPr>
                <w:noProof/>
                <w:webHidden/>
              </w:rPr>
              <w:fldChar w:fldCharType="separate"/>
            </w:r>
            <w:r>
              <w:rPr>
                <w:noProof/>
                <w:webHidden/>
              </w:rPr>
              <w:t>4</w:t>
            </w:r>
            <w:r>
              <w:rPr>
                <w:noProof/>
                <w:webHidden/>
              </w:rPr>
              <w:fldChar w:fldCharType="end"/>
            </w:r>
          </w:hyperlink>
        </w:p>
        <w:p w:rsidR="00E2009A" w:rsidRDefault="00E2009A" w:rsidP="00AD52D7">
          <w:pPr>
            <w:pStyle w:val="Indholdsfortegnelse1"/>
            <w:rPr>
              <w:rFonts w:eastAsiaTheme="minorEastAsia"/>
              <w:lang w:eastAsia="da-DK"/>
            </w:rPr>
          </w:pPr>
          <w:hyperlink w:anchor="_Toc277530015" w:history="1">
            <w:r w:rsidRPr="0009442A">
              <w:rPr>
                <w:rStyle w:val="Hyperlink"/>
              </w:rPr>
              <w:t>Trin 2, Teknisk Analyse på og Nationaløkonomisk niveau:</w:t>
            </w:r>
            <w:r>
              <w:rPr>
                <w:webHidden/>
              </w:rPr>
              <w:tab/>
            </w:r>
            <w:r>
              <w:rPr>
                <w:webHidden/>
              </w:rPr>
              <w:fldChar w:fldCharType="begin"/>
            </w:r>
            <w:r>
              <w:rPr>
                <w:webHidden/>
              </w:rPr>
              <w:instrText xml:space="preserve"> PAGEREF _Toc277530015 \h </w:instrText>
            </w:r>
            <w:r>
              <w:rPr>
                <w:webHidden/>
              </w:rPr>
            </w:r>
            <w:r>
              <w:rPr>
                <w:webHidden/>
              </w:rPr>
              <w:fldChar w:fldCharType="separate"/>
            </w:r>
            <w:r>
              <w:rPr>
                <w:webHidden/>
              </w:rPr>
              <w:t>5</w:t>
            </w:r>
            <w:r>
              <w:rPr>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16" w:history="1">
            <w:r w:rsidRPr="0009442A">
              <w:rPr>
                <w:rStyle w:val="Hyperlink"/>
                <w:noProof/>
              </w:rPr>
              <w:t>De 4 forskellige indikatortyper.</w:t>
            </w:r>
            <w:r>
              <w:rPr>
                <w:noProof/>
                <w:webHidden/>
              </w:rPr>
              <w:tab/>
            </w:r>
            <w:r>
              <w:rPr>
                <w:noProof/>
                <w:webHidden/>
              </w:rPr>
              <w:fldChar w:fldCharType="begin"/>
            </w:r>
            <w:r>
              <w:rPr>
                <w:noProof/>
                <w:webHidden/>
              </w:rPr>
              <w:instrText xml:space="preserve"> PAGEREF _Toc277530016 \h </w:instrText>
            </w:r>
            <w:r>
              <w:rPr>
                <w:noProof/>
                <w:webHidden/>
              </w:rPr>
            </w:r>
            <w:r>
              <w:rPr>
                <w:noProof/>
                <w:webHidden/>
              </w:rPr>
              <w:fldChar w:fldCharType="separate"/>
            </w:r>
            <w:r>
              <w:rPr>
                <w:noProof/>
                <w:webHidden/>
              </w:rPr>
              <w:t>5</w:t>
            </w:r>
            <w:r>
              <w:rPr>
                <w:noProof/>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17" w:history="1">
            <w:r w:rsidRPr="0009442A">
              <w:rPr>
                <w:rStyle w:val="Hyperlink"/>
                <w:noProof/>
              </w:rPr>
              <w:t>Oscillator:</w:t>
            </w:r>
            <w:r>
              <w:rPr>
                <w:noProof/>
                <w:webHidden/>
              </w:rPr>
              <w:tab/>
            </w:r>
            <w:r>
              <w:rPr>
                <w:noProof/>
                <w:webHidden/>
              </w:rPr>
              <w:fldChar w:fldCharType="begin"/>
            </w:r>
            <w:r>
              <w:rPr>
                <w:noProof/>
                <w:webHidden/>
              </w:rPr>
              <w:instrText xml:space="preserve"> PAGEREF _Toc277530017 \h </w:instrText>
            </w:r>
            <w:r>
              <w:rPr>
                <w:noProof/>
                <w:webHidden/>
              </w:rPr>
            </w:r>
            <w:r>
              <w:rPr>
                <w:noProof/>
                <w:webHidden/>
              </w:rPr>
              <w:fldChar w:fldCharType="separate"/>
            </w:r>
            <w:r>
              <w:rPr>
                <w:noProof/>
                <w:webHidden/>
              </w:rPr>
              <w:t>5</w:t>
            </w:r>
            <w:r>
              <w:rPr>
                <w:noProof/>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18" w:history="1">
            <w:r w:rsidRPr="0009442A">
              <w:rPr>
                <w:rStyle w:val="Hyperlink"/>
                <w:noProof/>
              </w:rPr>
              <w:t>Glidende Gennemsnit: (Trendfølgende indikator)</w:t>
            </w:r>
            <w:r>
              <w:rPr>
                <w:noProof/>
                <w:webHidden/>
              </w:rPr>
              <w:tab/>
            </w:r>
            <w:r>
              <w:rPr>
                <w:noProof/>
                <w:webHidden/>
              </w:rPr>
              <w:fldChar w:fldCharType="begin"/>
            </w:r>
            <w:r>
              <w:rPr>
                <w:noProof/>
                <w:webHidden/>
              </w:rPr>
              <w:instrText xml:space="preserve"> PAGEREF _Toc277530018 \h </w:instrText>
            </w:r>
            <w:r>
              <w:rPr>
                <w:noProof/>
                <w:webHidden/>
              </w:rPr>
            </w:r>
            <w:r>
              <w:rPr>
                <w:noProof/>
                <w:webHidden/>
              </w:rPr>
              <w:fldChar w:fldCharType="separate"/>
            </w:r>
            <w:r>
              <w:rPr>
                <w:noProof/>
                <w:webHidden/>
              </w:rPr>
              <w:t>7</w:t>
            </w:r>
            <w:r>
              <w:rPr>
                <w:noProof/>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19" w:history="1">
            <w:r w:rsidRPr="0009442A">
              <w:rPr>
                <w:rStyle w:val="Hyperlink"/>
                <w:noProof/>
                <w:lang w:val="en-US"/>
              </w:rPr>
              <w:t>Money Flow Index: (Volumen og momentum indikator)</w:t>
            </w:r>
            <w:r>
              <w:rPr>
                <w:noProof/>
                <w:webHidden/>
              </w:rPr>
              <w:tab/>
            </w:r>
            <w:r>
              <w:rPr>
                <w:noProof/>
                <w:webHidden/>
              </w:rPr>
              <w:fldChar w:fldCharType="begin"/>
            </w:r>
            <w:r>
              <w:rPr>
                <w:noProof/>
                <w:webHidden/>
              </w:rPr>
              <w:instrText xml:space="preserve"> PAGEREF _Toc277530019 \h </w:instrText>
            </w:r>
            <w:r>
              <w:rPr>
                <w:noProof/>
                <w:webHidden/>
              </w:rPr>
            </w:r>
            <w:r>
              <w:rPr>
                <w:noProof/>
                <w:webHidden/>
              </w:rPr>
              <w:fldChar w:fldCharType="separate"/>
            </w:r>
            <w:r>
              <w:rPr>
                <w:noProof/>
                <w:webHidden/>
              </w:rPr>
              <w:t>8</w:t>
            </w:r>
            <w:r>
              <w:rPr>
                <w:noProof/>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20" w:history="1">
            <w:r w:rsidRPr="0009442A">
              <w:rPr>
                <w:rStyle w:val="Hyperlink"/>
                <w:noProof/>
              </w:rPr>
              <w:t>Bollinger Bands: (Volatilitets indikator)</w:t>
            </w:r>
            <w:r>
              <w:rPr>
                <w:noProof/>
                <w:webHidden/>
              </w:rPr>
              <w:tab/>
            </w:r>
            <w:r>
              <w:rPr>
                <w:noProof/>
                <w:webHidden/>
              </w:rPr>
              <w:fldChar w:fldCharType="begin"/>
            </w:r>
            <w:r>
              <w:rPr>
                <w:noProof/>
                <w:webHidden/>
              </w:rPr>
              <w:instrText xml:space="preserve"> PAGEREF _Toc277530020 \h </w:instrText>
            </w:r>
            <w:r>
              <w:rPr>
                <w:noProof/>
                <w:webHidden/>
              </w:rPr>
            </w:r>
            <w:r>
              <w:rPr>
                <w:noProof/>
                <w:webHidden/>
              </w:rPr>
              <w:fldChar w:fldCharType="separate"/>
            </w:r>
            <w:r>
              <w:rPr>
                <w:noProof/>
                <w:webHidden/>
              </w:rPr>
              <w:t>9</w:t>
            </w:r>
            <w:r>
              <w:rPr>
                <w:noProof/>
                <w:webHidden/>
              </w:rPr>
              <w:fldChar w:fldCharType="end"/>
            </w:r>
          </w:hyperlink>
        </w:p>
        <w:p w:rsidR="00E2009A" w:rsidRDefault="00E2009A" w:rsidP="00AD52D7">
          <w:pPr>
            <w:pStyle w:val="Indholdsfortegnelse1"/>
            <w:rPr>
              <w:rFonts w:eastAsiaTheme="minorEastAsia"/>
              <w:lang w:eastAsia="da-DK"/>
            </w:rPr>
          </w:pPr>
          <w:hyperlink w:anchor="_Toc277530021" w:history="1">
            <w:r w:rsidRPr="0009442A">
              <w:rPr>
                <w:rStyle w:val="Hyperlink"/>
              </w:rPr>
              <w:t>Trin 3, Fundamental analyse på Industrielt niveau:</w:t>
            </w:r>
            <w:r>
              <w:rPr>
                <w:webHidden/>
              </w:rPr>
              <w:tab/>
            </w:r>
            <w:r>
              <w:rPr>
                <w:webHidden/>
              </w:rPr>
              <w:fldChar w:fldCharType="begin"/>
            </w:r>
            <w:r>
              <w:rPr>
                <w:webHidden/>
              </w:rPr>
              <w:instrText xml:space="preserve"> PAGEREF _Toc277530021 \h </w:instrText>
            </w:r>
            <w:r>
              <w:rPr>
                <w:webHidden/>
              </w:rPr>
            </w:r>
            <w:r>
              <w:rPr>
                <w:webHidden/>
              </w:rPr>
              <w:fldChar w:fldCharType="separate"/>
            </w:r>
            <w:r>
              <w:rPr>
                <w:webHidden/>
              </w:rPr>
              <w:t>10</w:t>
            </w:r>
            <w:r>
              <w:rPr>
                <w:webHidden/>
              </w:rPr>
              <w:fldChar w:fldCharType="end"/>
            </w:r>
          </w:hyperlink>
        </w:p>
        <w:p w:rsidR="00E2009A" w:rsidRDefault="00E2009A" w:rsidP="00AD52D7">
          <w:pPr>
            <w:pStyle w:val="Indholdsfortegnelse1"/>
            <w:rPr>
              <w:rFonts w:eastAsiaTheme="minorEastAsia"/>
              <w:lang w:eastAsia="da-DK"/>
            </w:rPr>
          </w:pPr>
          <w:hyperlink w:anchor="_Toc277530022" w:history="1">
            <w:r w:rsidRPr="0009442A">
              <w:rPr>
                <w:rStyle w:val="Hyperlink"/>
              </w:rPr>
              <w:t>Trin 4, Teknisk analyse på Industrielt niveau:</w:t>
            </w:r>
            <w:r>
              <w:rPr>
                <w:webHidden/>
              </w:rPr>
              <w:tab/>
            </w:r>
            <w:r>
              <w:rPr>
                <w:webHidden/>
              </w:rPr>
              <w:fldChar w:fldCharType="begin"/>
            </w:r>
            <w:r>
              <w:rPr>
                <w:webHidden/>
              </w:rPr>
              <w:instrText xml:space="preserve"> PAGEREF _Toc277530022 \h </w:instrText>
            </w:r>
            <w:r>
              <w:rPr>
                <w:webHidden/>
              </w:rPr>
            </w:r>
            <w:r>
              <w:rPr>
                <w:webHidden/>
              </w:rPr>
              <w:fldChar w:fldCharType="separate"/>
            </w:r>
            <w:r>
              <w:rPr>
                <w:webHidden/>
              </w:rPr>
              <w:t>10</w:t>
            </w:r>
            <w:r>
              <w:rPr>
                <w:webHidden/>
              </w:rPr>
              <w:fldChar w:fldCharType="end"/>
            </w:r>
          </w:hyperlink>
        </w:p>
        <w:p w:rsidR="00E2009A" w:rsidRDefault="00E2009A" w:rsidP="00AD52D7">
          <w:pPr>
            <w:pStyle w:val="Indholdsfortegnelse1"/>
            <w:rPr>
              <w:rFonts w:eastAsiaTheme="minorEastAsia"/>
              <w:lang w:eastAsia="da-DK"/>
            </w:rPr>
          </w:pPr>
          <w:hyperlink w:anchor="_Toc277530023" w:history="1">
            <w:r w:rsidRPr="0009442A">
              <w:rPr>
                <w:rStyle w:val="Hyperlink"/>
                <w:lang w:eastAsia="da-DK"/>
              </w:rPr>
              <w:t>Trin 5, Fundamental analyse på Virksomhedsspecifikt niveau:</w:t>
            </w:r>
            <w:r>
              <w:rPr>
                <w:webHidden/>
              </w:rPr>
              <w:tab/>
            </w:r>
            <w:r>
              <w:rPr>
                <w:webHidden/>
              </w:rPr>
              <w:fldChar w:fldCharType="begin"/>
            </w:r>
            <w:r>
              <w:rPr>
                <w:webHidden/>
              </w:rPr>
              <w:instrText xml:space="preserve"> PAGEREF _Toc277530023 \h </w:instrText>
            </w:r>
            <w:r>
              <w:rPr>
                <w:webHidden/>
              </w:rPr>
            </w:r>
            <w:r>
              <w:rPr>
                <w:webHidden/>
              </w:rPr>
              <w:fldChar w:fldCharType="separate"/>
            </w:r>
            <w:r>
              <w:rPr>
                <w:webHidden/>
              </w:rPr>
              <w:t>10</w:t>
            </w:r>
            <w:r>
              <w:rPr>
                <w:webHidden/>
              </w:rPr>
              <w:fldChar w:fldCharType="end"/>
            </w:r>
          </w:hyperlink>
        </w:p>
        <w:p w:rsidR="00E2009A" w:rsidRDefault="00E2009A" w:rsidP="00AD52D7">
          <w:pPr>
            <w:pStyle w:val="Indholdsfortegnelse1"/>
            <w:rPr>
              <w:rFonts w:eastAsiaTheme="minorEastAsia"/>
              <w:lang w:eastAsia="da-DK"/>
            </w:rPr>
          </w:pPr>
          <w:hyperlink w:anchor="_Toc277530024" w:history="1">
            <w:r w:rsidRPr="0009442A">
              <w:rPr>
                <w:rStyle w:val="Hyperlink"/>
                <w:lang w:eastAsia="da-DK"/>
              </w:rPr>
              <w:t>Trin 6, Regnskabsanalyse på Virksomhedsspecifikt Niveau:</w:t>
            </w:r>
            <w:r>
              <w:rPr>
                <w:webHidden/>
              </w:rPr>
              <w:tab/>
            </w:r>
            <w:r>
              <w:rPr>
                <w:webHidden/>
              </w:rPr>
              <w:fldChar w:fldCharType="begin"/>
            </w:r>
            <w:r>
              <w:rPr>
                <w:webHidden/>
              </w:rPr>
              <w:instrText xml:space="preserve"> PAGEREF _Toc277530024 \h </w:instrText>
            </w:r>
            <w:r>
              <w:rPr>
                <w:webHidden/>
              </w:rPr>
            </w:r>
            <w:r>
              <w:rPr>
                <w:webHidden/>
              </w:rPr>
              <w:fldChar w:fldCharType="separate"/>
            </w:r>
            <w:r>
              <w:rPr>
                <w:webHidden/>
              </w:rPr>
              <w:t>11</w:t>
            </w:r>
            <w:r>
              <w:rPr>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25" w:history="1">
            <w:r w:rsidRPr="0009442A">
              <w:rPr>
                <w:rStyle w:val="Hyperlink"/>
                <w:noProof/>
                <w:lang w:eastAsia="da-DK"/>
              </w:rPr>
              <w:t>Regnskabsgennemgang:</w:t>
            </w:r>
            <w:r>
              <w:rPr>
                <w:noProof/>
                <w:webHidden/>
              </w:rPr>
              <w:tab/>
            </w:r>
            <w:r>
              <w:rPr>
                <w:noProof/>
                <w:webHidden/>
              </w:rPr>
              <w:fldChar w:fldCharType="begin"/>
            </w:r>
            <w:r>
              <w:rPr>
                <w:noProof/>
                <w:webHidden/>
              </w:rPr>
              <w:instrText xml:space="preserve"> PAGEREF _Toc277530025 \h </w:instrText>
            </w:r>
            <w:r>
              <w:rPr>
                <w:noProof/>
                <w:webHidden/>
              </w:rPr>
            </w:r>
            <w:r>
              <w:rPr>
                <w:noProof/>
                <w:webHidden/>
              </w:rPr>
              <w:fldChar w:fldCharType="separate"/>
            </w:r>
            <w:r>
              <w:rPr>
                <w:noProof/>
                <w:webHidden/>
              </w:rPr>
              <w:t>11</w:t>
            </w:r>
            <w:r>
              <w:rPr>
                <w:noProof/>
                <w:webHidden/>
              </w:rPr>
              <w:fldChar w:fldCharType="end"/>
            </w:r>
          </w:hyperlink>
        </w:p>
        <w:p w:rsidR="00E2009A" w:rsidRDefault="00E2009A">
          <w:pPr>
            <w:pStyle w:val="Indholdsfortegnelse2"/>
            <w:tabs>
              <w:tab w:val="right" w:leader="dot" w:pos="9628"/>
            </w:tabs>
            <w:rPr>
              <w:rFonts w:eastAsiaTheme="minorEastAsia"/>
              <w:noProof/>
              <w:lang w:eastAsia="da-DK"/>
            </w:rPr>
          </w:pPr>
          <w:hyperlink w:anchor="_Toc277530026" w:history="1">
            <w:r w:rsidRPr="0009442A">
              <w:rPr>
                <w:rStyle w:val="Hyperlink"/>
                <w:noProof/>
                <w:lang w:eastAsia="da-DK"/>
              </w:rPr>
              <w:t>Nøgletal:</w:t>
            </w:r>
            <w:r>
              <w:rPr>
                <w:noProof/>
                <w:webHidden/>
              </w:rPr>
              <w:tab/>
            </w:r>
            <w:r>
              <w:rPr>
                <w:noProof/>
                <w:webHidden/>
              </w:rPr>
              <w:fldChar w:fldCharType="begin"/>
            </w:r>
            <w:r>
              <w:rPr>
                <w:noProof/>
                <w:webHidden/>
              </w:rPr>
              <w:instrText xml:space="preserve"> PAGEREF _Toc277530026 \h </w:instrText>
            </w:r>
            <w:r>
              <w:rPr>
                <w:noProof/>
                <w:webHidden/>
              </w:rPr>
            </w:r>
            <w:r>
              <w:rPr>
                <w:noProof/>
                <w:webHidden/>
              </w:rPr>
              <w:fldChar w:fldCharType="separate"/>
            </w:r>
            <w:r>
              <w:rPr>
                <w:noProof/>
                <w:webHidden/>
              </w:rPr>
              <w:t>13</w:t>
            </w:r>
            <w:r>
              <w:rPr>
                <w:noProof/>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27" w:history="1">
            <w:r w:rsidRPr="0009442A">
              <w:rPr>
                <w:rStyle w:val="Hyperlink"/>
                <w:noProof/>
                <w:lang w:eastAsia="da-DK"/>
              </w:rPr>
              <w:t>Resultat pr. Aktie (Earnings Per Share):</w:t>
            </w:r>
            <w:r>
              <w:rPr>
                <w:noProof/>
                <w:webHidden/>
              </w:rPr>
              <w:tab/>
            </w:r>
            <w:r>
              <w:rPr>
                <w:noProof/>
                <w:webHidden/>
              </w:rPr>
              <w:fldChar w:fldCharType="begin"/>
            </w:r>
            <w:r>
              <w:rPr>
                <w:noProof/>
                <w:webHidden/>
              </w:rPr>
              <w:instrText xml:space="preserve"> PAGEREF _Toc277530027 \h </w:instrText>
            </w:r>
            <w:r>
              <w:rPr>
                <w:noProof/>
                <w:webHidden/>
              </w:rPr>
            </w:r>
            <w:r>
              <w:rPr>
                <w:noProof/>
                <w:webHidden/>
              </w:rPr>
              <w:fldChar w:fldCharType="separate"/>
            </w:r>
            <w:r>
              <w:rPr>
                <w:noProof/>
                <w:webHidden/>
              </w:rPr>
              <w:t>13</w:t>
            </w:r>
            <w:r>
              <w:rPr>
                <w:noProof/>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28" w:history="1">
            <w:r w:rsidRPr="0009442A">
              <w:rPr>
                <w:rStyle w:val="Hyperlink"/>
                <w:noProof/>
                <w:lang w:eastAsia="da-DK"/>
              </w:rPr>
              <w:t>Price To Earnings:</w:t>
            </w:r>
            <w:r>
              <w:rPr>
                <w:noProof/>
                <w:webHidden/>
              </w:rPr>
              <w:tab/>
            </w:r>
            <w:r>
              <w:rPr>
                <w:noProof/>
                <w:webHidden/>
              </w:rPr>
              <w:fldChar w:fldCharType="begin"/>
            </w:r>
            <w:r>
              <w:rPr>
                <w:noProof/>
                <w:webHidden/>
              </w:rPr>
              <w:instrText xml:space="preserve"> PAGEREF _Toc277530028 \h </w:instrText>
            </w:r>
            <w:r>
              <w:rPr>
                <w:noProof/>
                <w:webHidden/>
              </w:rPr>
            </w:r>
            <w:r>
              <w:rPr>
                <w:noProof/>
                <w:webHidden/>
              </w:rPr>
              <w:fldChar w:fldCharType="separate"/>
            </w:r>
            <w:r>
              <w:rPr>
                <w:noProof/>
                <w:webHidden/>
              </w:rPr>
              <w:t>13</w:t>
            </w:r>
            <w:r>
              <w:rPr>
                <w:noProof/>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29" w:history="1">
            <w:r w:rsidRPr="0009442A">
              <w:rPr>
                <w:rStyle w:val="Hyperlink"/>
                <w:noProof/>
                <w:lang w:eastAsia="da-DK"/>
              </w:rPr>
              <w:t>Indre Værdi pr. Aktie (Book Value per Share):</w:t>
            </w:r>
            <w:r>
              <w:rPr>
                <w:noProof/>
                <w:webHidden/>
              </w:rPr>
              <w:tab/>
            </w:r>
            <w:r>
              <w:rPr>
                <w:noProof/>
                <w:webHidden/>
              </w:rPr>
              <w:fldChar w:fldCharType="begin"/>
            </w:r>
            <w:r>
              <w:rPr>
                <w:noProof/>
                <w:webHidden/>
              </w:rPr>
              <w:instrText xml:space="preserve"> PAGEREF _Toc277530029 \h </w:instrText>
            </w:r>
            <w:r>
              <w:rPr>
                <w:noProof/>
                <w:webHidden/>
              </w:rPr>
            </w:r>
            <w:r>
              <w:rPr>
                <w:noProof/>
                <w:webHidden/>
              </w:rPr>
              <w:fldChar w:fldCharType="separate"/>
            </w:r>
            <w:r>
              <w:rPr>
                <w:noProof/>
                <w:webHidden/>
              </w:rPr>
              <w:t>13</w:t>
            </w:r>
            <w:r>
              <w:rPr>
                <w:noProof/>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30" w:history="1">
            <w:r w:rsidRPr="0009442A">
              <w:rPr>
                <w:rStyle w:val="Hyperlink"/>
                <w:noProof/>
                <w:lang w:eastAsia="da-DK"/>
              </w:rPr>
              <w:t>Kurs/Indre Værdi:</w:t>
            </w:r>
            <w:r>
              <w:rPr>
                <w:noProof/>
                <w:webHidden/>
              </w:rPr>
              <w:tab/>
            </w:r>
            <w:r>
              <w:rPr>
                <w:noProof/>
                <w:webHidden/>
              </w:rPr>
              <w:fldChar w:fldCharType="begin"/>
            </w:r>
            <w:r>
              <w:rPr>
                <w:noProof/>
                <w:webHidden/>
              </w:rPr>
              <w:instrText xml:space="preserve"> PAGEREF _Toc277530030 \h </w:instrText>
            </w:r>
            <w:r>
              <w:rPr>
                <w:noProof/>
                <w:webHidden/>
              </w:rPr>
            </w:r>
            <w:r>
              <w:rPr>
                <w:noProof/>
                <w:webHidden/>
              </w:rPr>
              <w:fldChar w:fldCharType="separate"/>
            </w:r>
            <w:r>
              <w:rPr>
                <w:noProof/>
                <w:webHidden/>
              </w:rPr>
              <w:t>13</w:t>
            </w:r>
            <w:r>
              <w:rPr>
                <w:noProof/>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31" w:history="1">
            <w:r w:rsidRPr="0009442A">
              <w:rPr>
                <w:rStyle w:val="Hyperlink"/>
                <w:noProof/>
                <w:lang w:eastAsia="da-DK"/>
              </w:rPr>
              <w:t>Price to Sales:</w:t>
            </w:r>
            <w:r>
              <w:rPr>
                <w:noProof/>
                <w:webHidden/>
              </w:rPr>
              <w:tab/>
            </w:r>
            <w:r>
              <w:rPr>
                <w:noProof/>
                <w:webHidden/>
              </w:rPr>
              <w:fldChar w:fldCharType="begin"/>
            </w:r>
            <w:r>
              <w:rPr>
                <w:noProof/>
                <w:webHidden/>
              </w:rPr>
              <w:instrText xml:space="preserve"> PAGEREF _Toc277530031 \h </w:instrText>
            </w:r>
            <w:r>
              <w:rPr>
                <w:noProof/>
                <w:webHidden/>
              </w:rPr>
            </w:r>
            <w:r>
              <w:rPr>
                <w:noProof/>
                <w:webHidden/>
              </w:rPr>
              <w:fldChar w:fldCharType="separate"/>
            </w:r>
            <w:r>
              <w:rPr>
                <w:noProof/>
                <w:webHidden/>
              </w:rPr>
              <w:t>14</w:t>
            </w:r>
            <w:r>
              <w:rPr>
                <w:noProof/>
                <w:webHidden/>
              </w:rPr>
              <w:fldChar w:fldCharType="end"/>
            </w:r>
          </w:hyperlink>
        </w:p>
        <w:p w:rsidR="00E2009A" w:rsidRDefault="00E2009A">
          <w:pPr>
            <w:pStyle w:val="Indholdsfortegnelse3"/>
            <w:tabs>
              <w:tab w:val="right" w:leader="dot" w:pos="9628"/>
            </w:tabs>
            <w:rPr>
              <w:rFonts w:eastAsiaTheme="minorEastAsia"/>
              <w:noProof/>
              <w:lang w:eastAsia="da-DK"/>
            </w:rPr>
          </w:pPr>
          <w:hyperlink w:anchor="_Toc277530032" w:history="1">
            <w:r w:rsidRPr="0009442A">
              <w:rPr>
                <w:rStyle w:val="Hyperlink"/>
                <w:noProof/>
                <w:lang w:eastAsia="da-DK"/>
              </w:rPr>
              <w:t>Egenkapitalforrentningen (Return On Equity):</w:t>
            </w:r>
            <w:r>
              <w:rPr>
                <w:noProof/>
                <w:webHidden/>
              </w:rPr>
              <w:tab/>
            </w:r>
            <w:r>
              <w:rPr>
                <w:noProof/>
                <w:webHidden/>
              </w:rPr>
              <w:fldChar w:fldCharType="begin"/>
            </w:r>
            <w:r>
              <w:rPr>
                <w:noProof/>
                <w:webHidden/>
              </w:rPr>
              <w:instrText xml:space="preserve"> PAGEREF _Toc277530032 \h </w:instrText>
            </w:r>
            <w:r>
              <w:rPr>
                <w:noProof/>
                <w:webHidden/>
              </w:rPr>
            </w:r>
            <w:r>
              <w:rPr>
                <w:noProof/>
                <w:webHidden/>
              </w:rPr>
              <w:fldChar w:fldCharType="separate"/>
            </w:r>
            <w:r>
              <w:rPr>
                <w:noProof/>
                <w:webHidden/>
              </w:rPr>
              <w:t>14</w:t>
            </w:r>
            <w:r>
              <w:rPr>
                <w:noProof/>
                <w:webHidden/>
              </w:rPr>
              <w:fldChar w:fldCharType="end"/>
            </w:r>
          </w:hyperlink>
        </w:p>
        <w:p w:rsidR="00E2009A" w:rsidRDefault="00E2009A" w:rsidP="00AD52D7">
          <w:pPr>
            <w:pStyle w:val="Indholdsfortegnelse1"/>
            <w:rPr>
              <w:rFonts w:eastAsiaTheme="minorEastAsia"/>
              <w:lang w:eastAsia="da-DK"/>
            </w:rPr>
          </w:pPr>
          <w:hyperlink w:anchor="_Toc277530033" w:history="1">
            <w:r w:rsidRPr="0009442A">
              <w:rPr>
                <w:rStyle w:val="Hyperlink"/>
                <w:lang w:eastAsia="da-DK"/>
              </w:rPr>
              <w:t>Trin 7, konklusion:</w:t>
            </w:r>
            <w:r>
              <w:rPr>
                <w:webHidden/>
              </w:rPr>
              <w:tab/>
            </w:r>
            <w:r>
              <w:rPr>
                <w:webHidden/>
              </w:rPr>
              <w:fldChar w:fldCharType="begin"/>
            </w:r>
            <w:r>
              <w:rPr>
                <w:webHidden/>
              </w:rPr>
              <w:instrText xml:space="preserve"> PAGEREF _Toc277530033 \h </w:instrText>
            </w:r>
            <w:r>
              <w:rPr>
                <w:webHidden/>
              </w:rPr>
            </w:r>
            <w:r>
              <w:rPr>
                <w:webHidden/>
              </w:rPr>
              <w:fldChar w:fldCharType="separate"/>
            </w:r>
            <w:r>
              <w:rPr>
                <w:webHidden/>
              </w:rPr>
              <w:t>14</w:t>
            </w:r>
            <w:r>
              <w:rPr>
                <w:webHidden/>
              </w:rPr>
              <w:fldChar w:fldCharType="end"/>
            </w:r>
          </w:hyperlink>
        </w:p>
        <w:p w:rsidR="008F03EA" w:rsidRDefault="0028211C">
          <w:r>
            <w:fldChar w:fldCharType="end"/>
          </w:r>
        </w:p>
      </w:sdtContent>
    </w:sdt>
    <w:p w:rsidR="008F03EA" w:rsidRDefault="008F03EA" w:rsidP="008F03EA">
      <w:pPr>
        <w:pStyle w:val="Overskrift1"/>
      </w:pPr>
    </w:p>
    <w:p w:rsidR="009D148D" w:rsidRDefault="008F03EA" w:rsidP="008F03EA">
      <w:pPr>
        <w:pStyle w:val="Overskrift1"/>
      </w:pPr>
      <w:bookmarkStart w:id="0" w:name="_Toc277530008"/>
      <w:r>
        <w:t>Introduktion:</w:t>
      </w:r>
      <w:bookmarkEnd w:id="0"/>
    </w:p>
    <w:p w:rsidR="008F03EA" w:rsidRDefault="008F03EA" w:rsidP="008F03EA">
      <w:pPr>
        <w:rPr>
          <w:color w:val="000000" w:themeColor="text1"/>
          <w:sz w:val="24"/>
          <w:szCs w:val="24"/>
        </w:rPr>
      </w:pPr>
      <w:r>
        <w:tab/>
      </w:r>
      <w:r w:rsidR="00D15988">
        <w:t xml:space="preserve">At </w:t>
      </w:r>
      <w:r w:rsidR="00D15988">
        <w:rPr>
          <w:color w:val="000000" w:themeColor="text1"/>
          <w:sz w:val="24"/>
          <w:szCs w:val="24"/>
        </w:rPr>
        <w:t>h</w:t>
      </w:r>
      <w:r>
        <w:rPr>
          <w:color w:val="000000" w:themeColor="text1"/>
          <w:sz w:val="24"/>
          <w:szCs w:val="24"/>
        </w:rPr>
        <w:t>andle med</w:t>
      </w:r>
      <w:r w:rsidR="00D15988">
        <w:rPr>
          <w:color w:val="000000" w:themeColor="text1"/>
          <w:sz w:val="24"/>
          <w:szCs w:val="24"/>
        </w:rPr>
        <w:t xml:space="preserve"> fornuften, frem for følelserne, h</w:t>
      </w:r>
      <w:r>
        <w:rPr>
          <w:color w:val="000000" w:themeColor="text1"/>
          <w:sz w:val="24"/>
          <w:szCs w:val="24"/>
        </w:rPr>
        <w:t>andl</w:t>
      </w:r>
      <w:r w:rsidR="00D15988">
        <w:rPr>
          <w:color w:val="000000" w:themeColor="text1"/>
          <w:sz w:val="24"/>
          <w:szCs w:val="24"/>
        </w:rPr>
        <w:t>e</w:t>
      </w:r>
      <w:r w:rsidR="00301CBA">
        <w:rPr>
          <w:color w:val="000000" w:themeColor="text1"/>
          <w:sz w:val="24"/>
          <w:szCs w:val="24"/>
        </w:rPr>
        <w:t xml:space="preserve"> systematisk frem for spontant og at </w:t>
      </w:r>
      <w:r w:rsidR="00D15988">
        <w:rPr>
          <w:color w:val="000000" w:themeColor="text1"/>
          <w:sz w:val="24"/>
          <w:szCs w:val="24"/>
        </w:rPr>
        <w:t>h</w:t>
      </w:r>
      <w:r>
        <w:rPr>
          <w:color w:val="000000" w:themeColor="text1"/>
          <w:sz w:val="24"/>
          <w:szCs w:val="24"/>
        </w:rPr>
        <w:t>andle med hovedet frem for mellemgulvet</w:t>
      </w:r>
      <w:r w:rsidR="00301CBA">
        <w:rPr>
          <w:color w:val="000000" w:themeColor="text1"/>
          <w:sz w:val="24"/>
          <w:szCs w:val="24"/>
        </w:rPr>
        <w:t xml:space="preserve"> er en</w:t>
      </w:r>
      <w:r w:rsidR="00D15988">
        <w:rPr>
          <w:color w:val="000000" w:themeColor="text1"/>
          <w:sz w:val="24"/>
          <w:szCs w:val="24"/>
        </w:rPr>
        <w:t xml:space="preserve"> aktiehan</w:t>
      </w:r>
      <w:r w:rsidR="008A5DE9">
        <w:rPr>
          <w:color w:val="000000" w:themeColor="text1"/>
          <w:sz w:val="24"/>
          <w:szCs w:val="24"/>
        </w:rPr>
        <w:t>dle</w:t>
      </w:r>
      <w:r w:rsidR="00301CBA">
        <w:rPr>
          <w:color w:val="000000" w:themeColor="text1"/>
          <w:sz w:val="24"/>
          <w:szCs w:val="24"/>
        </w:rPr>
        <w:t>rs vigtigste retningslinje</w:t>
      </w:r>
      <w:r>
        <w:rPr>
          <w:color w:val="000000" w:themeColor="text1"/>
          <w:sz w:val="24"/>
          <w:szCs w:val="24"/>
        </w:rPr>
        <w:t>. Stol altid på din investeringsprofil.</w:t>
      </w:r>
    </w:p>
    <w:p w:rsidR="00D15988" w:rsidRDefault="00D15988" w:rsidP="008F03EA">
      <w:pPr>
        <w:rPr>
          <w:color w:val="000000" w:themeColor="text1"/>
          <w:sz w:val="24"/>
          <w:szCs w:val="24"/>
        </w:rPr>
      </w:pPr>
    </w:p>
    <w:p w:rsidR="008F03EA" w:rsidRDefault="00D15988" w:rsidP="00D15988">
      <w:pPr>
        <w:pStyle w:val="Overskrift1"/>
      </w:pPr>
      <w:bookmarkStart w:id="1" w:name="_Toc277530009"/>
      <w:r>
        <w:t>Handleplan:</w:t>
      </w:r>
      <w:bookmarkEnd w:id="1"/>
    </w:p>
    <w:p w:rsidR="00D15988" w:rsidRDefault="00D15988" w:rsidP="00D15988">
      <w:pPr>
        <w:pStyle w:val="Overskrift2"/>
      </w:pPr>
      <w:bookmarkStart w:id="2" w:name="_Toc277530010"/>
      <w:r>
        <w:t>Politik:</w:t>
      </w:r>
      <w:bookmarkEnd w:id="2"/>
    </w:p>
    <w:p w:rsidR="00D15988" w:rsidRDefault="00D15988" w:rsidP="00D15988">
      <w:pPr>
        <w:rPr>
          <w:sz w:val="24"/>
          <w:szCs w:val="24"/>
        </w:rPr>
      </w:pPr>
      <w:r>
        <w:rPr>
          <w:sz w:val="24"/>
          <w:szCs w:val="24"/>
        </w:rPr>
        <w:t>Minimum 8 – 10 % årligt afkast er forventeligt på længere sigt. Hvis lavere er det ikke tilfredsstillende.</w:t>
      </w:r>
    </w:p>
    <w:p w:rsidR="00D15988" w:rsidRDefault="00D15988" w:rsidP="00D15988">
      <w:pPr>
        <w:rPr>
          <w:sz w:val="24"/>
          <w:szCs w:val="24"/>
        </w:rPr>
      </w:pPr>
      <w:r>
        <w:rPr>
          <w:sz w:val="24"/>
          <w:szCs w:val="24"/>
        </w:rPr>
        <w:t>Nationalt kun investeringer på OMXC20 indekset – muligt også at investerer i store solide internationale virksomheder.</w:t>
      </w:r>
    </w:p>
    <w:p w:rsidR="00D15988" w:rsidRPr="00D15988" w:rsidRDefault="00D15988" w:rsidP="00D15988">
      <w:pPr>
        <w:rPr>
          <w:sz w:val="24"/>
          <w:szCs w:val="24"/>
        </w:rPr>
      </w:pPr>
      <w:r>
        <w:rPr>
          <w:sz w:val="24"/>
          <w:szCs w:val="24"/>
        </w:rPr>
        <w:t>Investeringshorisont på 3 til 12 måneder</w:t>
      </w:r>
    </w:p>
    <w:p w:rsidR="00985EFD" w:rsidRPr="00985EFD" w:rsidRDefault="00985EFD" w:rsidP="00D15988">
      <w:pPr>
        <w:pStyle w:val="Overskrift2"/>
      </w:pPr>
      <w:bookmarkStart w:id="3" w:name="_Toc277530011"/>
      <w:r>
        <w:t>S</w:t>
      </w:r>
      <w:r w:rsidR="00BD4B66">
        <w:t>trat</w:t>
      </w:r>
      <w:r>
        <w:t>egi:</w:t>
      </w:r>
      <w:bookmarkEnd w:id="3"/>
    </w:p>
    <w:p w:rsidR="002C7A9D" w:rsidRDefault="002C7A9D" w:rsidP="002C7A9D">
      <w:r>
        <w:t xml:space="preserve">Økonomiske midler: De penge der tilsidesættes til handel med aktier, skal kunne undværes i den daglige økonomi, således at de kan være bundne i en aktie på ubestemt tid. </w:t>
      </w:r>
    </w:p>
    <w:p w:rsidR="002C7A9D" w:rsidRDefault="002C7A9D" w:rsidP="002C7A9D">
      <w:r>
        <w:t>Risiko: Min. 45 % af det samlede beløb det bruges til investering bindes i aktier med lav risiko</w:t>
      </w:r>
      <w:r w:rsidR="00BD4B66">
        <w:t xml:space="preserve"> (lav betaværdi)</w:t>
      </w:r>
      <w:r>
        <w:t>. 35-45 % af beløbet bindes i aktier med en mellem risiko</w:t>
      </w:r>
      <w:r w:rsidR="00BD4B66">
        <w:t xml:space="preserve"> (mellem betaværdi)</w:t>
      </w:r>
      <w:r>
        <w:t xml:space="preserve">. </w:t>
      </w:r>
      <w:r w:rsidR="00D9460D">
        <w:t>Max. 20 % af det samlede beløb bindes i aktier med en høj risiko</w:t>
      </w:r>
      <w:r w:rsidR="00BD4B66">
        <w:t xml:space="preserve"> (høj betaværdi)</w:t>
      </w:r>
      <w:r w:rsidR="00D9460D">
        <w:t>.</w:t>
      </w:r>
      <w:r>
        <w:t xml:space="preserve"> </w:t>
      </w:r>
      <w:r w:rsidR="00985EFD">
        <w:t xml:space="preserve"> I perioder med lav vækst, og lave aktiekurser, kan man med fordel fritstille en større procentdel af beløbet.</w:t>
      </w:r>
      <w:r w:rsidR="00BD4B66">
        <w:t xml:space="preserve"> Der veksles kun mellem aktier og kontanter, som udgangspunkt ingen obligationer, så længe viden og erfaring hermed ikke er større.</w:t>
      </w:r>
    </w:p>
    <w:p w:rsidR="00023096" w:rsidRDefault="002C7A9D" w:rsidP="002C7A9D">
      <w:r>
        <w:t>Risikospredning:</w:t>
      </w:r>
    </w:p>
    <w:p w:rsidR="00023096" w:rsidRDefault="00023096" w:rsidP="00023096">
      <w:pPr>
        <w:ind w:firstLine="1304"/>
      </w:pPr>
      <w:r>
        <w:t>Brancher:</w:t>
      </w:r>
      <w:r w:rsidR="002C7A9D">
        <w:t xml:space="preserve"> Pengene spredes ud på min. 2 brancher, gerne med flere forskellige investeringer i hver branche.</w:t>
      </w:r>
      <w:r>
        <w:t xml:space="preserve">  Ideelt ligger brancherne også således at de har deres storhedstid i forskellige fa</w:t>
      </w:r>
      <w:r w:rsidR="00985EFD">
        <w:t xml:space="preserve">ser </w:t>
      </w:r>
      <w:r w:rsidR="00301CBA">
        <w:t xml:space="preserve">af konjunktursvingningerne og </w:t>
      </w:r>
      <w:r w:rsidR="00985EFD">
        <w:t>geografisk forskelligt.</w:t>
      </w:r>
    </w:p>
    <w:p w:rsidR="00023096" w:rsidRPr="00023096" w:rsidRDefault="00023096" w:rsidP="00BD4B66">
      <w:pPr>
        <w:ind w:firstLine="1304"/>
      </w:pPr>
      <w:r>
        <w:t xml:space="preserve">Antal aktier: </w:t>
      </w:r>
      <w:r w:rsidR="00D9460D">
        <w:t>Optimalt er det at investe</w:t>
      </w:r>
      <w:r>
        <w:t>re i 5-10 forskellige selskaber, dog afhænger det også af størrelsen på beløbet der investeres. Således kan det samlede beløb, være så lavt at der ikke er til mere end 2 forskellige selskaber.</w:t>
      </w:r>
    </w:p>
    <w:p w:rsidR="00BD4B66" w:rsidRDefault="00BD4B66" w:rsidP="00D15988">
      <w:pPr>
        <w:pStyle w:val="Overskrift2"/>
        <w:rPr>
          <w:rFonts w:eastAsiaTheme="minorHAnsi"/>
        </w:rPr>
      </w:pPr>
      <w:bookmarkStart w:id="4" w:name="_Toc277530012"/>
      <w:r>
        <w:rPr>
          <w:rFonts w:eastAsiaTheme="minorHAnsi"/>
        </w:rPr>
        <w:lastRenderedPageBreak/>
        <w:t>Kontrol:</w:t>
      </w:r>
      <w:bookmarkEnd w:id="4"/>
    </w:p>
    <w:p w:rsidR="00BD4B66" w:rsidRDefault="00BD4B66" w:rsidP="00BD4B66">
      <w:r>
        <w:t xml:space="preserve">For at sikre mod </w:t>
      </w:r>
      <w:r w:rsidR="008A5DE9">
        <w:t>større tab, fastsættes her nogle</w:t>
      </w:r>
      <w:r>
        <w:t xml:space="preserve"> kontrolregler, der skal gælde for salg af aktier, når kursen falder.</w:t>
      </w:r>
    </w:p>
    <w:p w:rsidR="00BD4B66" w:rsidRDefault="00BD4B66" w:rsidP="00BD4B66">
      <w:r>
        <w:t xml:space="preserve">Stop </w:t>
      </w:r>
      <w:proofErr w:type="spellStart"/>
      <w:r>
        <w:t>Loss</w:t>
      </w:r>
      <w:proofErr w:type="spellEnd"/>
      <w:r>
        <w:t xml:space="preserve">: </w:t>
      </w:r>
      <w:r w:rsidR="001A06CA">
        <w:t xml:space="preserve">Hvis aktien falder ned under </w:t>
      </w:r>
      <w:r w:rsidR="00D15988">
        <w:t xml:space="preserve">95 % af købsprisen, er det Stop </w:t>
      </w:r>
      <w:proofErr w:type="spellStart"/>
      <w:r w:rsidR="00D15988">
        <w:t>Loss</w:t>
      </w:r>
      <w:proofErr w:type="spellEnd"/>
      <w:r w:rsidR="00D15988">
        <w:t xml:space="preserve"> og aktien skal sælges, for at mindske yderligere tab. </w:t>
      </w:r>
    </w:p>
    <w:p w:rsidR="00BD4B66" w:rsidRDefault="00BD4B66" w:rsidP="00BD4B66">
      <w:proofErr w:type="spellStart"/>
      <w:r>
        <w:t>Protect</w:t>
      </w:r>
      <w:proofErr w:type="spellEnd"/>
      <w:r>
        <w:t xml:space="preserve"> Profit:</w:t>
      </w:r>
      <w:r w:rsidR="00D15988">
        <w:t xml:space="preserve"> Hvis aktien stiger, således at man har opnået gevinst på handlen, udløser et fald med mere end 10 % et salgssignal. Således at hvis aktien falder til mindre end 90 % af den højeste værdi aktien har haft, mens den har været i porteføljen, sælges aktien.</w:t>
      </w:r>
    </w:p>
    <w:p w:rsidR="00D15988" w:rsidRDefault="00FF4151" w:rsidP="00301CBA">
      <w:pPr>
        <w:pStyle w:val="Overskrift1"/>
      </w:pPr>
      <w:r>
        <w:t>Trin for trin gennemgang hvordan den rigtige investering udvælges:</w:t>
      </w:r>
    </w:p>
    <w:p w:rsidR="00301CBA" w:rsidRDefault="00FF4151" w:rsidP="00301CBA">
      <w:r>
        <w:t xml:space="preserve">Der benyttes en model til udvælgelsen, hvor der først ses på det overordnede aktiemarked i et land, derefter en bestemt branche og slutteligt en specifik virksomhed. </w:t>
      </w:r>
    </w:p>
    <w:p w:rsidR="00FF4151" w:rsidRPr="00301CBA" w:rsidRDefault="00FF4151" w:rsidP="00301CBA">
      <w:r>
        <w:t>For aktiehandel på international basis, er det vigtigere at gå i dybden med BNP, arbejdsløshed, renteniveau og de tekniske indikatorer, for at være sikker. For danske aktier, er det nemmere at gøre en god investering i en virksomhed, trods dårlig national vækst.</w:t>
      </w:r>
    </w:p>
    <w:p w:rsidR="00A72198" w:rsidRDefault="00A72198" w:rsidP="00A72198">
      <w:pPr>
        <w:pStyle w:val="Overskrift1"/>
      </w:pPr>
      <w:bookmarkStart w:id="5" w:name="_Toc277530013"/>
      <w:r>
        <w:t>Trin 1, Fundamental Analyse på Nationaløkonomisk niveau:</w:t>
      </w:r>
      <w:bookmarkEnd w:id="5"/>
      <w:r>
        <w:t xml:space="preserve"> </w:t>
      </w:r>
    </w:p>
    <w:p w:rsidR="00A72198" w:rsidRDefault="00A72198" w:rsidP="00A72198">
      <w:r>
        <w:t>At udpege og finde en aktie der giver et overskud er kunsten ved aktiehandel, dog er det ikke nogen nemt kunst</w:t>
      </w:r>
      <w:r w:rsidR="00301CBA">
        <w:t xml:space="preserve"> at mestre. Derfor bruger vi i fundamentalanalysen</w:t>
      </w:r>
      <w:r>
        <w:t xml:space="preserve"> 3 forskellige niveauer, i jagten på den rigtige aktie.</w:t>
      </w:r>
    </w:p>
    <w:p w:rsidR="00A72198" w:rsidRDefault="00A72198" w:rsidP="00A72198">
      <w:pPr>
        <w:pStyle w:val="Listeafsnit"/>
        <w:numPr>
          <w:ilvl w:val="0"/>
          <w:numId w:val="6"/>
        </w:numPr>
        <w:ind w:left="709" w:hanging="425"/>
      </w:pPr>
      <w:r>
        <w:t>Nationaløkonomisk niveau</w:t>
      </w:r>
    </w:p>
    <w:p w:rsidR="00A72198" w:rsidRDefault="00A72198" w:rsidP="00A72198">
      <w:pPr>
        <w:pStyle w:val="Listeafsnit"/>
        <w:numPr>
          <w:ilvl w:val="0"/>
          <w:numId w:val="6"/>
        </w:numPr>
        <w:ind w:left="709" w:hanging="425"/>
      </w:pPr>
      <w:r>
        <w:t>Industrielt niveau</w:t>
      </w:r>
    </w:p>
    <w:p w:rsidR="00301CBA" w:rsidRDefault="00A72198" w:rsidP="00301CBA">
      <w:pPr>
        <w:pStyle w:val="Listeafsnit"/>
        <w:numPr>
          <w:ilvl w:val="0"/>
          <w:numId w:val="6"/>
        </w:numPr>
        <w:ind w:left="709" w:hanging="425"/>
      </w:pPr>
      <w:r>
        <w:t>Virksomhedsspecifikt niveau:</w:t>
      </w:r>
    </w:p>
    <w:p w:rsidR="00A72198" w:rsidRDefault="00A72198" w:rsidP="00A72198">
      <w:pPr>
        <w:pStyle w:val="Overskrift2"/>
      </w:pPr>
      <w:bookmarkStart w:id="6" w:name="_Toc277530014"/>
      <w:r>
        <w:t>Nationaløkonomisk niveau:</w:t>
      </w:r>
      <w:bookmarkEnd w:id="6"/>
    </w:p>
    <w:p w:rsidR="00A72198" w:rsidRDefault="00A72198" w:rsidP="00A72198">
      <w:r>
        <w:t>Når man ser på et lands overordnede økonomi er der nogen få faktorer man skal kigge på. Først er der BNP, Brutto National Produktet, som viser værdien af den samlede produktion i et land.</w:t>
      </w:r>
    </w:p>
    <w:p w:rsidR="00A72198" w:rsidRPr="00EB053E" w:rsidRDefault="00A72198" w:rsidP="00A72198">
      <w:pPr>
        <w:rPr>
          <w:rFonts w:eastAsiaTheme="minorEastAsia"/>
        </w:rPr>
      </w:pPr>
      <m:oMathPara>
        <m:oMath>
          <m:r>
            <w:rPr>
              <w:rFonts w:ascii="Cambria Math" w:hAnsi="Cambria Math"/>
            </w:rPr>
            <m:t>BNP=C+G+I+NX</m:t>
          </m:r>
        </m:oMath>
      </m:oMathPara>
    </w:p>
    <w:p w:rsidR="00A72198" w:rsidRPr="00EB053E" w:rsidRDefault="00A72198" w:rsidP="00A72198">
      <w:pPr>
        <w:rPr>
          <w:rFonts w:eastAsiaTheme="minorEastAsia"/>
        </w:rPr>
      </w:pPr>
      <m:oMathPara>
        <m:oMath>
          <m:r>
            <w:rPr>
              <w:rFonts w:ascii="Cambria Math" w:eastAsiaTheme="minorEastAsia" w:hAnsi="Cambria Math"/>
            </w:rPr>
            <m:t>C=Det private forbrug</m:t>
          </m:r>
        </m:oMath>
      </m:oMathPara>
    </w:p>
    <w:p w:rsidR="00A72198" w:rsidRDefault="00A72198" w:rsidP="00A72198">
      <w:pPr>
        <w:rPr>
          <w:rFonts w:eastAsiaTheme="minorEastAsia"/>
        </w:rPr>
      </w:pPr>
      <m:oMathPara>
        <m:oMath>
          <m:r>
            <w:rPr>
              <w:rFonts w:ascii="Cambria Math" w:eastAsiaTheme="minorEastAsia" w:hAnsi="Cambria Math"/>
            </w:rPr>
            <m:t>G=Det offentlige forbrug</m:t>
          </m:r>
        </m:oMath>
      </m:oMathPara>
    </w:p>
    <w:p w:rsidR="00A72198" w:rsidRDefault="00A72198" w:rsidP="00A72198">
      <w:pPr>
        <w:rPr>
          <w:rFonts w:eastAsiaTheme="minorEastAsia"/>
        </w:rPr>
      </w:pPr>
      <m:oMathPara>
        <m:oMath>
          <m:r>
            <w:rPr>
              <w:rFonts w:ascii="Cambria Math" w:eastAsiaTheme="minorEastAsia" w:hAnsi="Cambria Math"/>
            </w:rPr>
            <m:t>I=Investeringer</m:t>
          </m:r>
        </m:oMath>
      </m:oMathPara>
    </w:p>
    <w:p w:rsidR="00A72198" w:rsidRDefault="00A72198" w:rsidP="00A72198">
      <w:pPr>
        <w:rPr>
          <w:rFonts w:eastAsiaTheme="minorEastAsia"/>
        </w:rPr>
      </w:pPr>
      <m:oMathPara>
        <m:oMath>
          <m:r>
            <w:rPr>
              <w:rFonts w:ascii="Cambria Math" w:eastAsiaTheme="minorEastAsia" w:hAnsi="Cambria Math"/>
            </w:rPr>
            <m:t>NX=Nette Eksport (Eksport-Import)</m:t>
          </m:r>
        </m:oMath>
      </m:oMathPara>
    </w:p>
    <w:p w:rsidR="00A72198" w:rsidRDefault="00A72198" w:rsidP="00A72198">
      <w:pPr>
        <w:rPr>
          <w:rFonts w:eastAsiaTheme="minorEastAsia"/>
        </w:rPr>
      </w:pPr>
      <w:r>
        <w:rPr>
          <w:rFonts w:eastAsiaTheme="minorEastAsia"/>
        </w:rPr>
        <w:t>For at kunne vurdere BNP, skal der kigges på en graf, der sammenligner BNP en årrække tilbage.</w:t>
      </w:r>
    </w:p>
    <w:p w:rsidR="00A72198" w:rsidRDefault="00A72198" w:rsidP="00A72198">
      <w:pPr>
        <w:rPr>
          <w:rFonts w:eastAsiaTheme="minorEastAsia"/>
        </w:rPr>
      </w:pPr>
      <w:r>
        <w:rPr>
          <w:rFonts w:eastAsiaTheme="minorEastAsia"/>
        </w:rPr>
        <w:lastRenderedPageBreak/>
        <w:t>Derudover kan man se på renten. Med renten menes den rente man skal betale banken for at låne penge. En lav rente betyder at færre har brug for at låne penge, og er typisk for perioder med højkonjunktur. Igen bruges grafer for at sammenligne renten en årrække tilbage.</w:t>
      </w:r>
    </w:p>
    <w:p w:rsidR="00A72198" w:rsidRDefault="00A72198" w:rsidP="00A72198">
      <w:pPr>
        <w:rPr>
          <w:rFonts w:eastAsiaTheme="minorEastAsia"/>
        </w:rPr>
      </w:pPr>
      <w:r>
        <w:rPr>
          <w:rFonts w:eastAsiaTheme="minorEastAsia"/>
        </w:rPr>
        <w:t>Slutteligt er der arbejdsløsheden. Jo lavere arbejdsløsheden er, jo mere arbejde er det til folk, grundet en højere produktion, altså et tegn på højkonjunktur i landet. Sammenlign igen i grafer.</w:t>
      </w:r>
    </w:p>
    <w:p w:rsidR="00A72198" w:rsidRDefault="00A72198" w:rsidP="00A72198">
      <w:pPr>
        <w:pStyle w:val="Overskrift1"/>
      </w:pPr>
      <w:bookmarkStart w:id="7" w:name="_Toc277530015"/>
      <w:r>
        <w:t>Trin 2, Teknisk Analyse på og Nationaløkonomisk niveau:</w:t>
      </w:r>
      <w:bookmarkEnd w:id="7"/>
    </w:p>
    <w:p w:rsidR="00A72198" w:rsidRPr="00A72198" w:rsidRDefault="00301CBA" w:rsidP="00A72198">
      <w:r>
        <w:t>For at finde ud af om trenden på aktiemarkedet i det valgte land nu også er opadgående, bruges de tekniske indikatorer til at afgøre dette.</w:t>
      </w:r>
    </w:p>
    <w:p w:rsidR="00A72198" w:rsidRDefault="00A72198" w:rsidP="00A72198">
      <w:pPr>
        <w:pStyle w:val="Overskrift2"/>
      </w:pPr>
      <w:bookmarkStart w:id="8" w:name="_Toc277530016"/>
      <w:r>
        <w:t>De 4 forskellige indikatortyper.</w:t>
      </w:r>
      <w:bookmarkEnd w:id="8"/>
    </w:p>
    <w:p w:rsidR="00A72198" w:rsidRPr="00353275" w:rsidRDefault="00A72198" w:rsidP="00A72198"/>
    <w:p w:rsidR="00A72198" w:rsidRDefault="00A72198" w:rsidP="00A72198">
      <w:pPr>
        <w:pStyle w:val="Listeafsnit"/>
        <w:numPr>
          <w:ilvl w:val="0"/>
          <w:numId w:val="1"/>
        </w:numPr>
      </w:pPr>
      <w:r>
        <w:t xml:space="preserve">Momentum indikatorer – måler farten på kursændringen. Ændrer sig pr. definition hurtigere end aktiekursen, og danner derfor en masse købs - og salgssignaler. God til aktier, der bevæger sig indenfor et snævert kursspænd (range </w:t>
      </w:r>
      <w:proofErr w:type="spellStart"/>
      <w:r>
        <w:t>trading</w:t>
      </w:r>
      <w:proofErr w:type="spellEnd"/>
      <w:r>
        <w:t>).</w:t>
      </w:r>
    </w:p>
    <w:p w:rsidR="00A72198" w:rsidRDefault="00A72198" w:rsidP="00A72198">
      <w:pPr>
        <w:pStyle w:val="Listeafsnit"/>
        <w:numPr>
          <w:ilvl w:val="0"/>
          <w:numId w:val="1"/>
        </w:numPr>
      </w:pPr>
      <w:r>
        <w:t xml:space="preserve">Trendfølgende indikatorer – indikere trendens retning. Bevæger sig langsommere end </w:t>
      </w:r>
      <w:proofErr w:type="gramStart"/>
      <w:r>
        <w:t>aktiekursen,  og</w:t>
      </w:r>
      <w:proofErr w:type="gramEnd"/>
      <w:r>
        <w:t xml:space="preserve"> danner derfor først et købs – og salgssignal, når aktien er i en op – eller nedtrend. </w:t>
      </w:r>
    </w:p>
    <w:p w:rsidR="00A72198" w:rsidRDefault="00A72198" w:rsidP="00A72198">
      <w:pPr>
        <w:pStyle w:val="Listeafsnit"/>
        <w:numPr>
          <w:ilvl w:val="0"/>
          <w:numId w:val="1"/>
        </w:numPr>
      </w:pPr>
      <w:proofErr w:type="spellStart"/>
      <w:r>
        <w:t>Volatilitets</w:t>
      </w:r>
      <w:proofErr w:type="spellEnd"/>
      <w:r>
        <w:t xml:space="preserve"> indikatorer – bekræfter en akties trend. Måler udsvingene i en akties kurs. Lav </w:t>
      </w:r>
      <w:proofErr w:type="spellStart"/>
      <w:r>
        <w:t>volatilitet</w:t>
      </w:r>
      <w:proofErr w:type="spellEnd"/>
      <w:r>
        <w:t xml:space="preserve"> indikere at trenden fortsætter, mens en høj </w:t>
      </w:r>
      <w:proofErr w:type="spellStart"/>
      <w:r>
        <w:t>volatilitet</w:t>
      </w:r>
      <w:proofErr w:type="spellEnd"/>
      <w:r>
        <w:t xml:space="preserve"> indikere at trenden kan vende. </w:t>
      </w:r>
    </w:p>
    <w:p w:rsidR="00A72198" w:rsidRDefault="00A72198" w:rsidP="00A72198">
      <w:pPr>
        <w:pStyle w:val="Listeafsnit"/>
        <w:numPr>
          <w:ilvl w:val="0"/>
          <w:numId w:val="1"/>
        </w:numPr>
      </w:pPr>
      <w:r>
        <w:t>Volumen indikatorer – bekræfter styrken på en akties trend. Illustrere det antal aktier, der sælges over en bestemt periode.  Lav volumen er karakteristisk for perioder med op - eller nedtrends, mens høj volumen indikerer at aktien topper eller er ved begyndelsen af en op – eller nedtrend.</w:t>
      </w:r>
    </w:p>
    <w:p w:rsidR="00A72198" w:rsidRDefault="00A72198" w:rsidP="00A72198">
      <w:pPr>
        <w:jc w:val="center"/>
      </w:pPr>
      <w:r>
        <w:rPr>
          <w:noProof/>
          <w:lang w:eastAsia="da-DK"/>
        </w:rPr>
        <w:drawing>
          <wp:inline distT="0" distB="0" distL="0" distR="0">
            <wp:extent cx="3305175" cy="2162175"/>
            <wp:effectExtent l="19050" t="0" r="9525" b="0"/>
            <wp:docPr id="15"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05175" cy="2162175"/>
                    </a:xfrm>
                    <a:prstGeom prst="rect">
                      <a:avLst/>
                    </a:prstGeom>
                    <a:noFill/>
                    <a:ln w="9525">
                      <a:noFill/>
                      <a:miter lim="800000"/>
                      <a:headEnd/>
                      <a:tailEnd/>
                    </a:ln>
                  </pic:spPr>
                </pic:pic>
              </a:graphicData>
            </a:graphic>
          </wp:inline>
        </w:drawing>
      </w:r>
    </w:p>
    <w:p w:rsidR="00A72198" w:rsidRDefault="00A72198" w:rsidP="00A72198">
      <w:pPr>
        <w:pStyle w:val="Overskrift3"/>
      </w:pPr>
      <w:bookmarkStart w:id="9" w:name="_Toc277530017"/>
      <w:r>
        <w:t>Oscillator:</w:t>
      </w:r>
      <w:bookmarkEnd w:id="9"/>
    </w:p>
    <w:p w:rsidR="00A72198" w:rsidRDefault="00A72198" w:rsidP="00A72198">
      <w:r>
        <w:t>En oscillator, er en indikator der enten er båndlagt eller som bevæger sig omkring et centrum.</w:t>
      </w:r>
    </w:p>
    <w:p w:rsidR="00A72198" w:rsidRDefault="00A72198" w:rsidP="00A72198">
      <w:r>
        <w:t xml:space="preserve">En centreret oscillator benyttes for at blive bekræftet i en akties trend. </w:t>
      </w:r>
      <w:proofErr w:type="spellStart"/>
      <w:r>
        <w:t>Oscilliatoren</w:t>
      </w:r>
      <w:proofErr w:type="spellEnd"/>
      <w:r>
        <w:t xml:space="preserve"> bevæger sig altid enten over eller under en konstant (vandret linje). Når den er over, er aktien i en optrend og når den er under, er den i en nedtrend. </w:t>
      </w:r>
    </w:p>
    <w:p w:rsidR="00A72198" w:rsidRDefault="00A72198" w:rsidP="00A72198">
      <w:pPr>
        <w:jc w:val="center"/>
      </w:pPr>
      <w:r>
        <w:rPr>
          <w:noProof/>
          <w:lang w:eastAsia="da-DK"/>
        </w:rPr>
        <w:lastRenderedPageBreak/>
        <w:drawing>
          <wp:inline distT="0" distB="0" distL="0" distR="0">
            <wp:extent cx="3543300" cy="1790700"/>
            <wp:effectExtent l="19050" t="0" r="0" b="0"/>
            <wp:docPr id="16"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543300" cy="1790700"/>
                    </a:xfrm>
                    <a:prstGeom prst="rect">
                      <a:avLst/>
                    </a:prstGeom>
                    <a:noFill/>
                    <a:ln w="9525">
                      <a:noFill/>
                      <a:miter lim="800000"/>
                      <a:headEnd/>
                      <a:tailEnd/>
                    </a:ln>
                  </pic:spPr>
                </pic:pic>
              </a:graphicData>
            </a:graphic>
          </wp:inline>
        </w:drawing>
      </w:r>
    </w:p>
    <w:p w:rsidR="00A72198" w:rsidRDefault="00A72198" w:rsidP="00A72198">
      <w:r>
        <w:t xml:space="preserve">En båndlagt oscillator bevæger sig mellem 2 konstanter (vandrette linjer), og er et udtryk for om aktien bevæger sig på ekstremer og derfor kan lave en trendvending.  Benyttes ofte, for at vise om aktien er over – eller undersolgt. </w:t>
      </w:r>
    </w:p>
    <w:p w:rsidR="00A72198" w:rsidRDefault="00A72198" w:rsidP="00A72198">
      <w:pPr>
        <w:jc w:val="center"/>
      </w:pPr>
      <w:r>
        <w:rPr>
          <w:noProof/>
          <w:lang w:eastAsia="da-DK"/>
        </w:rPr>
        <w:drawing>
          <wp:inline distT="0" distB="0" distL="0" distR="0">
            <wp:extent cx="3590925" cy="1847850"/>
            <wp:effectExtent l="19050" t="0" r="9525" b="0"/>
            <wp:docPr id="17"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590925" cy="1847850"/>
                    </a:xfrm>
                    <a:prstGeom prst="rect">
                      <a:avLst/>
                    </a:prstGeom>
                    <a:noFill/>
                    <a:ln w="9525">
                      <a:noFill/>
                      <a:miter lim="800000"/>
                      <a:headEnd/>
                      <a:tailEnd/>
                    </a:ln>
                  </pic:spPr>
                </pic:pic>
              </a:graphicData>
            </a:graphic>
          </wp:inline>
        </w:drawing>
      </w:r>
    </w:p>
    <w:p w:rsidR="00A72198" w:rsidRDefault="00A72198" w:rsidP="00A72198">
      <w:r>
        <w:t xml:space="preserve">Disse to oscillatorer benyttes til at finde købs – og salgssignaler. For hvert signal, skelnes her mellem hvorledes man ser det på en centreret og en båndlagt oscillator. </w:t>
      </w:r>
    </w:p>
    <w:p w:rsidR="00A72198" w:rsidRDefault="00A72198" w:rsidP="00A72198">
      <w:pPr>
        <w:pStyle w:val="Listeafsnit"/>
        <w:numPr>
          <w:ilvl w:val="0"/>
          <w:numId w:val="3"/>
        </w:numPr>
        <w:ind w:left="709" w:hanging="425"/>
      </w:pPr>
      <w:r>
        <w:t xml:space="preserve">Oversolgt: Når den tekniske indikatorer bevæger sig under nederste konstant (båndlagt), eller under midten (centreret), betyder det at der kun er få sælgere tilbage, hvilket betyder at hvis indikatoren kan bryde op over konstanten, er det et </w:t>
      </w:r>
      <w:proofErr w:type="spellStart"/>
      <w:r>
        <w:t>købssignal</w:t>
      </w:r>
      <w:proofErr w:type="spellEnd"/>
      <w:r>
        <w:t>.</w:t>
      </w:r>
      <w:r>
        <w:rPr>
          <w:rStyle w:val="Fodnotehenvisning"/>
        </w:rPr>
        <w:footnoteReference w:id="1"/>
      </w:r>
    </w:p>
    <w:p w:rsidR="00A72198" w:rsidRDefault="00A72198" w:rsidP="00A72198">
      <w:pPr>
        <w:pStyle w:val="Listeafsnit"/>
        <w:numPr>
          <w:ilvl w:val="0"/>
          <w:numId w:val="3"/>
        </w:numPr>
        <w:ind w:left="709" w:hanging="425"/>
      </w:pPr>
      <w:r>
        <w:t xml:space="preserve">Overkøbt: Når den tekniske indikatorer bevæger sig op over den øverste konstant (båndlagt), eller over midten (centreret), betyder det at der kun er få købere tilbage. Hvis så indikatoren bryder ned under konstanten, er det et salgssignal. </w:t>
      </w:r>
    </w:p>
    <w:p w:rsidR="00A72198" w:rsidRDefault="00A72198" w:rsidP="00A72198">
      <w:pPr>
        <w:pStyle w:val="Listeafsnit"/>
        <w:numPr>
          <w:ilvl w:val="0"/>
          <w:numId w:val="3"/>
        </w:numPr>
        <w:ind w:left="709" w:hanging="425"/>
      </w:pPr>
      <w:r>
        <w:t>Brud over midten: Når den tekniske indikator bryder over midten (centreret), betyder det at der er flere købere end sælgere, så aktien går ind i en optrend.</w:t>
      </w:r>
      <w:r>
        <w:rPr>
          <w:rStyle w:val="Fodnotehenvisning"/>
        </w:rPr>
        <w:footnoteReference w:id="2"/>
      </w:r>
    </w:p>
    <w:p w:rsidR="00A72198" w:rsidRDefault="00A72198" w:rsidP="00A72198">
      <w:pPr>
        <w:pStyle w:val="Listeafsnit"/>
        <w:numPr>
          <w:ilvl w:val="0"/>
          <w:numId w:val="3"/>
        </w:numPr>
        <w:ind w:left="709" w:hanging="425"/>
      </w:pPr>
      <w:r>
        <w:t>Brud under midten: Hvis den tekniske indikator bevæger sig under midten, betyder det at der er flere sælgere end købere, og aktien går ind i en nedtrend.</w:t>
      </w:r>
    </w:p>
    <w:p w:rsidR="00A72198" w:rsidRDefault="00A72198" w:rsidP="00A72198">
      <w:pPr>
        <w:pStyle w:val="Listeafsnit"/>
        <w:numPr>
          <w:ilvl w:val="0"/>
          <w:numId w:val="3"/>
        </w:numPr>
        <w:ind w:left="709" w:hanging="425"/>
      </w:pPr>
      <w:r>
        <w:t xml:space="preserve">Positiv divergens: Hvis aktiekursen falder, mens at den tekniske indikator stiger skaber det et </w:t>
      </w:r>
      <w:proofErr w:type="spellStart"/>
      <w:r>
        <w:t>købssignal</w:t>
      </w:r>
      <w:proofErr w:type="spellEnd"/>
      <w:r>
        <w:t xml:space="preserve">, da det afspejler at der er stigende interesse for aktien. </w:t>
      </w:r>
    </w:p>
    <w:p w:rsidR="00A72198" w:rsidRDefault="00A72198" w:rsidP="00A72198">
      <w:pPr>
        <w:pStyle w:val="Listeafsnit"/>
        <w:numPr>
          <w:ilvl w:val="0"/>
          <w:numId w:val="3"/>
        </w:numPr>
        <w:ind w:left="709" w:hanging="425"/>
      </w:pPr>
      <w:r>
        <w:lastRenderedPageBreak/>
        <w:t>Negativ divergens: Hvis aktiekursen stiger, mens at den tekniske indikator falder, skaber det et salgssignal, da købernes interesse for aktien falder og flere sælger. Resultere ofte i en nedtrend.</w:t>
      </w:r>
    </w:p>
    <w:p w:rsidR="00A72198" w:rsidRPr="00D66E8A" w:rsidRDefault="00A72198" w:rsidP="00A72198">
      <w:pPr>
        <w:tabs>
          <w:tab w:val="right" w:pos="9638"/>
        </w:tabs>
      </w:pPr>
      <w:r>
        <w:t xml:space="preserve"> </w:t>
      </w:r>
      <w:r>
        <w:tab/>
      </w:r>
    </w:p>
    <w:p w:rsidR="00A72198" w:rsidRDefault="00A72198" w:rsidP="00A72198">
      <w:pPr>
        <w:pStyle w:val="Overskrift2"/>
        <w:tabs>
          <w:tab w:val="left" w:pos="5670"/>
        </w:tabs>
      </w:pPr>
      <w:bookmarkStart w:id="10" w:name="_Toc277530018"/>
      <w:r>
        <w:t>Glidende Gennemsnit: (Trendfølgende indikator)</w:t>
      </w:r>
      <w:bookmarkEnd w:id="10"/>
      <w:r>
        <w:tab/>
      </w:r>
    </w:p>
    <w:p w:rsidR="00A72198" w:rsidRDefault="00A72198" w:rsidP="00A72198">
      <w:r>
        <w:t xml:space="preserve">For glidende gennemsnit findes både det simple glidende gennemsnit, og det eksponentielt glidende gennemsnit. Det simple glidende gennemsnit, kategoriseres efter hvor lang en periode man vælger. Således at der findes et glidende gennemsnit for 20 dage, 50 dage, 200 dage m.m. Jo længere periode, jo mindre følsomt er det glidende gennemsnit, i forhold til den aktuelle kurs. </w:t>
      </w:r>
    </w:p>
    <w:p w:rsidR="00A72198" w:rsidRDefault="00A72198" w:rsidP="00A72198">
      <w:r>
        <w:t>Det eksponentielt glidende gennemsnit fungerer til dels på samme måde og kategoriseres på samme måde. Forskellen ligger i at det eksponentielt glidende gennemsnit vægter værdierne omkring den aktuelle kurs, højere end ældre kurser. Således bliver det mere følsomt, og følger i højere grad aktiekursen.</w:t>
      </w:r>
    </w:p>
    <w:p w:rsidR="00A72198" w:rsidRDefault="00A72198" w:rsidP="00A72198">
      <w:r>
        <w:t xml:space="preserve">Når man skal vælge den gennemsnitlige længde for det glidende gennemsnit, halvere man den periode, der i gennemsnit er mellem 2 toppe i aktiekursen for den pågældende aktie. Dog afhænger det også af hvilken tidshorisont man arbejder med. </w:t>
      </w:r>
    </w:p>
    <w:p w:rsidR="00A72198" w:rsidRDefault="00A72198" w:rsidP="00A72198">
      <w:r>
        <w:t xml:space="preserve">Hvis det glidende gennemsnit bryder over den aktuelle aktiekurs er det et </w:t>
      </w:r>
      <w:proofErr w:type="spellStart"/>
      <w:r>
        <w:t>købssignal</w:t>
      </w:r>
      <w:proofErr w:type="spellEnd"/>
      <w:r>
        <w:t xml:space="preserve">, og modsat hvis den bryder under. Hvis et glidende gennemsnit med kortere tidshorisont, bryder over et glidende gennemsnit med længere tidshorisont, er det et kraftigere </w:t>
      </w:r>
      <w:proofErr w:type="spellStart"/>
      <w:r>
        <w:t>købssignal</w:t>
      </w:r>
      <w:proofErr w:type="spellEnd"/>
      <w:r>
        <w:t xml:space="preserve"> og hvis modsat, er det et kraftigt salgssignal.</w:t>
      </w:r>
    </w:p>
    <w:p w:rsidR="00A72198" w:rsidRDefault="00A72198" w:rsidP="00A72198">
      <w:pPr>
        <w:pStyle w:val="Overskrift4"/>
      </w:pPr>
      <w:r>
        <w:t>Udregning, Simpelt Glidende Gennemsnit:</w:t>
      </w:r>
    </w:p>
    <w:p w:rsidR="00A72198" w:rsidRPr="002F1175" w:rsidRDefault="00A72198" w:rsidP="00A72198"/>
    <w:p w:rsidR="00A72198" w:rsidRPr="00742824" w:rsidRDefault="00A72198" w:rsidP="00A72198">
      <w:pPr>
        <w:rPr>
          <w:rFonts w:eastAsiaTheme="minorEastAsia"/>
          <w:i/>
        </w:rPr>
      </w:pPr>
      <m:oMathPara>
        <m:oMath>
          <m:r>
            <w:rPr>
              <w:rFonts w:ascii="Cambria Math" w:hAnsi="Cambria Math"/>
            </w:rPr>
            <m:t>SGG=</m:t>
          </m:r>
          <m:f>
            <m:fPr>
              <m:ctrlPr>
                <w:rPr>
                  <w:rFonts w:ascii="Cambria Math" w:hAnsi="Cambria Math"/>
                  <w:i/>
                </w:rPr>
              </m:ctrlPr>
            </m:fPr>
            <m:num>
              <m:r>
                <w:rPr>
                  <w:rFonts w:ascii="Cambria Math" w:hAnsi="Cambria Math"/>
                </w:rPr>
                <m:t>Summen af de daglige lukkekurser</m:t>
              </m:r>
            </m:num>
            <m:den>
              <m:r>
                <w:rPr>
                  <w:rFonts w:ascii="Cambria Math" w:hAnsi="Cambria Math"/>
                </w:rPr>
                <m:t>Antallet af aktiekurser</m:t>
              </m:r>
            </m:den>
          </m:f>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1</m:t>
                  </m:r>
                </m:sub>
                <m:sup>
                  <m:r>
                    <w:rPr>
                      <w:rFonts w:ascii="Cambria Math" w:hAnsi="Cambria Math"/>
                    </w:rPr>
                    <m:t>n</m:t>
                  </m:r>
                </m:sup>
                <m:e>
                  <m:r>
                    <w:rPr>
                      <w:rFonts w:ascii="Cambria Math" w:hAnsi="Cambria Math"/>
                    </w:rPr>
                    <m:t>Dagli</m:t>
                  </m:r>
                  <m:r>
                    <w:rPr>
                      <w:rFonts w:ascii="Cambria Math" w:hAnsi="Cambria Math"/>
                    </w:rPr>
                    <m:t>ge lukkekurser</m:t>
                  </m:r>
                </m:e>
              </m:nary>
            </m:num>
            <m:den>
              <m:r>
                <w:rPr>
                  <w:rFonts w:ascii="Cambria Math" w:hAnsi="Cambria Math"/>
                </w:rPr>
                <m:t>n</m:t>
              </m:r>
            </m:den>
          </m:f>
        </m:oMath>
      </m:oMathPara>
    </w:p>
    <w:p w:rsidR="00A72198" w:rsidRPr="00742824" w:rsidRDefault="00A72198" w:rsidP="00A72198">
      <w:pPr>
        <w:rPr>
          <w:rFonts w:eastAsiaTheme="minorEastAsia"/>
          <w:b/>
        </w:rPr>
      </w:pPr>
    </w:p>
    <w:p w:rsidR="00A72198" w:rsidRDefault="00A72198" w:rsidP="00A72198">
      <w:pPr>
        <w:pStyle w:val="Overskrift4"/>
      </w:pPr>
      <w:r>
        <w:t>Udregning, Eksponentielt Glidende Gennemsnit:</w:t>
      </w:r>
    </w:p>
    <w:p w:rsidR="00A72198" w:rsidRPr="00742824" w:rsidRDefault="00A72198" w:rsidP="00A72198">
      <w:pPr>
        <w:rPr>
          <w:b/>
        </w:rPr>
      </w:pPr>
    </w:p>
    <w:p w:rsidR="00A72198" w:rsidRPr="00742824" w:rsidRDefault="00A72198" w:rsidP="00A72198">
      <w:pPr>
        <w:rPr>
          <w:rFonts w:eastAsiaTheme="minorEastAsia"/>
        </w:rPr>
      </w:pPr>
      <m:oMathPara>
        <m:oMath>
          <m:r>
            <w:rPr>
              <w:rFonts w:ascii="Cambria Math" w:hAnsi="Cambria Math"/>
            </w:rPr>
            <m:t>EGG=</m:t>
          </m:r>
          <m:d>
            <m:dPr>
              <m:ctrlPr>
                <w:rPr>
                  <w:rFonts w:ascii="Cambria Math" w:hAnsi="Cambria Math"/>
                  <w:i/>
                </w:rPr>
              </m:ctrlPr>
            </m:dPr>
            <m:e>
              <m:r>
                <w:rPr>
                  <w:rFonts w:ascii="Cambria Math" w:hAnsi="Cambria Math"/>
                </w:rPr>
                <m:t>lukkekurs-forrige EGG</m:t>
              </m:r>
            </m:e>
          </m:d>
          <m:r>
            <w:rPr>
              <w:rFonts w:ascii="Cambria Math" w:hAnsi="Cambria Math"/>
            </w:rPr>
            <m:t>*M+forrige EGG</m:t>
          </m:r>
        </m:oMath>
      </m:oMathPara>
    </w:p>
    <w:p w:rsidR="00A72198" w:rsidRPr="00742824" w:rsidRDefault="00A72198" w:rsidP="00A72198">
      <w:pPr>
        <w:rPr>
          <w:rFonts w:eastAsiaTheme="minorEastAsia"/>
        </w:rPr>
      </w:pPr>
      <m:oMathPara>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multiplikator</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1-n</m:t>
              </m:r>
            </m:den>
          </m:f>
        </m:oMath>
      </m:oMathPara>
    </w:p>
    <w:p w:rsidR="00A72198" w:rsidRPr="00742824" w:rsidRDefault="00A72198" w:rsidP="00A72198">
      <w:pPr>
        <w:rPr>
          <w:rFonts w:eastAsiaTheme="minorEastAsia"/>
        </w:rPr>
      </w:pPr>
      <m:oMathPara>
        <m:oMath>
          <m:r>
            <w:rPr>
              <w:rFonts w:ascii="Cambria Math" w:hAnsi="Cambria Math"/>
            </w:rPr>
            <m:t>For n=1, er EGG=SGG.</m:t>
          </m:r>
        </m:oMath>
      </m:oMathPara>
    </w:p>
    <w:p w:rsidR="00A72198" w:rsidRPr="007A0296" w:rsidRDefault="00A72198" w:rsidP="00A72198">
      <w:pPr>
        <w:pStyle w:val="Overskrift4"/>
        <w:rPr>
          <w:rFonts w:eastAsiaTheme="minorEastAsia"/>
        </w:rPr>
      </w:pPr>
      <w:r>
        <w:rPr>
          <w:rFonts w:eastAsiaTheme="minorEastAsia"/>
        </w:rPr>
        <w:lastRenderedPageBreak/>
        <w:t>Eksempel på glidende gennemsnit:</w:t>
      </w:r>
    </w:p>
    <w:p w:rsidR="00A72198" w:rsidRDefault="00A72198" w:rsidP="00A72198">
      <w:pPr>
        <w:jc w:val="center"/>
      </w:pPr>
      <w:r>
        <w:rPr>
          <w:noProof/>
          <w:lang w:eastAsia="da-DK"/>
        </w:rPr>
        <w:drawing>
          <wp:inline distT="0" distB="0" distL="0" distR="0">
            <wp:extent cx="3286125" cy="2324654"/>
            <wp:effectExtent l="19050" t="0" r="9525" b="0"/>
            <wp:docPr id="18" name="Billede 1" descr="http://www.demetra.dk/media/10719/sas_499x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metra.dk/media/10719/sas_499x353.jpg"/>
                    <pic:cNvPicPr>
                      <a:picLocks noChangeAspect="1" noChangeArrowheads="1"/>
                    </pic:cNvPicPr>
                  </pic:nvPicPr>
                  <pic:blipFill>
                    <a:blip r:embed="rId12" cstate="print"/>
                    <a:srcRect/>
                    <a:stretch>
                      <a:fillRect/>
                    </a:stretch>
                  </pic:blipFill>
                  <pic:spPr bwMode="auto">
                    <a:xfrm>
                      <a:off x="0" y="0"/>
                      <a:ext cx="3286125" cy="2324654"/>
                    </a:xfrm>
                    <a:prstGeom prst="rect">
                      <a:avLst/>
                    </a:prstGeom>
                    <a:noFill/>
                    <a:ln w="9525">
                      <a:noFill/>
                      <a:miter lim="800000"/>
                      <a:headEnd/>
                      <a:tailEnd/>
                    </a:ln>
                  </pic:spPr>
                </pic:pic>
              </a:graphicData>
            </a:graphic>
          </wp:inline>
        </w:drawing>
      </w:r>
    </w:p>
    <w:p w:rsidR="00A72198" w:rsidRPr="00C7378D" w:rsidRDefault="00A72198" w:rsidP="00A72198">
      <w:pPr>
        <w:pStyle w:val="Overskrift2"/>
        <w:rPr>
          <w:lang w:val="en-US"/>
        </w:rPr>
      </w:pPr>
      <w:bookmarkStart w:id="11" w:name="_Toc277530019"/>
      <w:r w:rsidRPr="00C7378D">
        <w:rPr>
          <w:lang w:val="en-US"/>
        </w:rPr>
        <w:t>Money Flow Index: (</w:t>
      </w:r>
      <w:proofErr w:type="spellStart"/>
      <w:r w:rsidRPr="00C7378D">
        <w:rPr>
          <w:lang w:val="en-US"/>
        </w:rPr>
        <w:t>Volumen</w:t>
      </w:r>
      <w:proofErr w:type="spellEnd"/>
      <w:r w:rsidRPr="00C7378D">
        <w:rPr>
          <w:lang w:val="en-US"/>
        </w:rPr>
        <w:t xml:space="preserve"> </w:t>
      </w:r>
      <w:proofErr w:type="spellStart"/>
      <w:proofErr w:type="gramStart"/>
      <w:r w:rsidRPr="00C7378D">
        <w:rPr>
          <w:lang w:val="en-US"/>
        </w:rPr>
        <w:t>og</w:t>
      </w:r>
      <w:proofErr w:type="spellEnd"/>
      <w:proofErr w:type="gramEnd"/>
      <w:r w:rsidRPr="00C7378D">
        <w:rPr>
          <w:lang w:val="en-US"/>
        </w:rPr>
        <w:t xml:space="preserve"> momentum </w:t>
      </w:r>
      <w:proofErr w:type="spellStart"/>
      <w:r w:rsidRPr="00C7378D">
        <w:rPr>
          <w:lang w:val="en-US"/>
        </w:rPr>
        <w:t>indikator</w:t>
      </w:r>
      <w:proofErr w:type="spellEnd"/>
      <w:r w:rsidRPr="00C7378D">
        <w:rPr>
          <w:lang w:val="en-US"/>
        </w:rPr>
        <w:t>)</w:t>
      </w:r>
      <w:bookmarkEnd w:id="11"/>
    </w:p>
    <w:p w:rsidR="00A72198" w:rsidRDefault="00A72198" w:rsidP="00A72198">
      <w:r w:rsidRPr="00C7378D">
        <w:t xml:space="preserve">Money Flow </w:t>
      </w:r>
      <w:proofErr w:type="spellStart"/>
      <w:r w:rsidRPr="00C7378D">
        <w:t>Index</w:t>
      </w:r>
      <w:proofErr w:type="spellEnd"/>
      <w:r w:rsidRPr="00C7378D">
        <w:t xml:space="preserve"> indikatoren (</w:t>
      </w:r>
      <w:r>
        <w:t xml:space="preserve">MFI) er en båndlagt oscillator, som sammenligner aktiens positive pengestrøm med den negative pengestrøm. Således indikerer den om en akties trend tiltager eller aftager.  MFI bevæger sig mellem værdierne 0 og 100, hvor mange værdier omkring 0, viser at der har været flere kursfald, end kursstigninger samtidig har </w:t>
      </w:r>
      <w:proofErr w:type="spellStart"/>
      <w:r>
        <w:t>b´volumen</w:t>
      </w:r>
      <w:proofErr w:type="spellEnd"/>
      <w:r>
        <w:t xml:space="preserve"> været høj omkring kursfaldene. Pengene strømmer ud af aktien. Modsat viser en høj MFI at der har været flere kursstigninger, end kursfald. Hvis volumen så samtidig er høj omkring kursstigningerne, strømmer der penge ind i aktien. </w:t>
      </w:r>
    </w:p>
    <w:p w:rsidR="00A72198" w:rsidRDefault="00A72198" w:rsidP="00A72198">
      <w:r>
        <w:t>Der anbefales at man som periode for MFI bruger 14 dage. Dette afhænger dog af investeringshorisonten.</w:t>
      </w:r>
    </w:p>
    <w:p w:rsidR="00A72198" w:rsidRDefault="00A72198" w:rsidP="00A72198">
      <w:r>
        <w:t xml:space="preserve">Signaler for MFI: Med en værdi under 30, er aktien oversolgt. Hvis den stiger op over de 30, er det et </w:t>
      </w:r>
      <w:proofErr w:type="spellStart"/>
      <w:r>
        <w:t>købssignal</w:t>
      </w:r>
      <w:proofErr w:type="spellEnd"/>
      <w:r>
        <w:t xml:space="preserve">. Modsat betyder det at aktien er overkøbt, hvis MFI ligger over 70. Hvis aktien så bryder under de 70, er det et salgssignal. Desuden kan der være positiv og negativ divergens mellem MFI og aktiekursen. MFI stiger, og aktiekursen falder = positiv divergens, og </w:t>
      </w:r>
      <w:proofErr w:type="spellStart"/>
      <w:r>
        <w:t>købssignal</w:t>
      </w:r>
      <w:proofErr w:type="spellEnd"/>
      <w:r>
        <w:t xml:space="preserve">. MFI falder og aktiekursen stiger = negativ divergens, salgssignal. </w:t>
      </w:r>
    </w:p>
    <w:p w:rsidR="00A72198" w:rsidRPr="00FD166D" w:rsidRDefault="00A72198" w:rsidP="00A72198">
      <w:pPr>
        <w:pStyle w:val="Overskrift4"/>
        <w:rPr>
          <w:lang w:val="en-US"/>
        </w:rPr>
      </w:pPr>
      <w:proofErr w:type="spellStart"/>
      <w:r w:rsidRPr="00FD166D">
        <w:rPr>
          <w:lang w:val="en-US"/>
        </w:rPr>
        <w:t>Udregning</w:t>
      </w:r>
      <w:proofErr w:type="spellEnd"/>
      <w:r w:rsidRPr="00FD166D">
        <w:rPr>
          <w:lang w:val="en-US"/>
        </w:rPr>
        <w:t>, Money Flow Index:</w:t>
      </w:r>
    </w:p>
    <w:p w:rsidR="00A72198" w:rsidRPr="00742824" w:rsidRDefault="00A72198" w:rsidP="00A72198">
      <w:pPr>
        <w:pStyle w:val="Listeafsnit"/>
        <w:numPr>
          <w:ilvl w:val="0"/>
          <w:numId w:val="5"/>
        </w:numPr>
        <w:jc w:val="center"/>
        <w:rPr>
          <w:rFonts w:asciiTheme="majorHAnsi" w:eastAsiaTheme="majorEastAsia" w:hAnsiTheme="majorHAnsi" w:cstheme="majorBidi"/>
          <w:bCs/>
        </w:rPr>
      </w:pPr>
      <m:oMath>
        <m:r>
          <w:rPr>
            <w:rFonts w:ascii="Cambria Math" w:hAnsi="Cambria Math"/>
          </w:rPr>
          <m:t>TP</m:t>
        </m:r>
        <m:d>
          <m:dPr>
            <m:ctrlPr>
              <w:rPr>
                <w:rFonts w:ascii="Cambria Math" w:hAnsi="Cambria Math"/>
                <w:i/>
              </w:rPr>
            </m:ctrlPr>
          </m:dPr>
          <m:e>
            <m:r>
              <w:rPr>
                <w:rFonts w:ascii="Cambria Math" w:hAnsi="Cambria Math"/>
              </w:rPr>
              <m:t>Typiske pris</m:t>
            </m:r>
          </m:e>
        </m:d>
        <m:r>
          <w:rPr>
            <w:rFonts w:ascii="Cambria Math" w:hAnsi="Cambria Math"/>
          </w:rPr>
          <m:t>=</m:t>
        </m:r>
        <m:f>
          <m:fPr>
            <m:ctrlPr>
              <w:rPr>
                <w:rFonts w:ascii="Cambria Math" w:eastAsiaTheme="majorEastAsia" w:hAnsi="Cambria Math" w:cstheme="majorBidi"/>
                <w:bCs/>
                <w:i/>
              </w:rPr>
            </m:ctrlPr>
          </m:fPr>
          <m:num>
            <m:r>
              <w:rPr>
                <w:rFonts w:ascii="Cambria Math" w:hAnsi="Cambria Math"/>
              </w:rPr>
              <m:t>Højeste kurs+laveste kurs+lukkekurs100</m:t>
            </m:r>
          </m:num>
          <m:den>
            <m:r>
              <w:rPr>
                <w:rFonts w:ascii="Cambria Math" w:hAnsi="Cambria Math"/>
              </w:rPr>
              <m:t>3</m:t>
            </m:r>
          </m:den>
        </m:f>
      </m:oMath>
    </w:p>
    <w:p w:rsidR="00A72198" w:rsidRPr="00742824" w:rsidRDefault="00A72198" w:rsidP="00A72198">
      <w:pPr>
        <w:pStyle w:val="Listeafsnit"/>
        <w:numPr>
          <w:ilvl w:val="0"/>
          <w:numId w:val="5"/>
        </w:numPr>
        <w:spacing w:line="480" w:lineRule="auto"/>
        <w:jc w:val="center"/>
        <w:rPr>
          <w:rFonts w:eastAsiaTheme="minorEastAsia"/>
        </w:rPr>
      </w:pPr>
      <m:oMath>
        <m:r>
          <w:rPr>
            <w:rFonts w:ascii="Cambria Math" w:hAnsi="Cambria Math"/>
          </w:rPr>
          <m:t>MF</m:t>
        </m:r>
        <m:d>
          <m:dPr>
            <m:ctrlPr>
              <w:rPr>
                <w:rFonts w:ascii="Cambria Math" w:eastAsiaTheme="minorEastAsia" w:hAnsi="Cambria Math"/>
                <w:i/>
              </w:rPr>
            </m:ctrlPr>
          </m:dPr>
          <m:e>
            <m:r>
              <w:rPr>
                <w:rFonts w:ascii="Cambria Math" w:eastAsiaTheme="minorEastAsia" w:hAnsi="Cambria Math"/>
              </w:rPr>
              <m:t>Money Flow</m:t>
            </m:r>
          </m:e>
        </m:d>
        <m:r>
          <w:rPr>
            <w:rFonts w:ascii="Cambria Math" w:eastAsiaTheme="minorEastAsia" w:hAnsi="Cambria Math"/>
          </w:rPr>
          <m:t>=TP*volumen</m:t>
        </m:r>
      </m:oMath>
    </w:p>
    <w:p w:rsidR="00A72198" w:rsidRPr="00742824" w:rsidRDefault="00A72198" w:rsidP="00A72198">
      <w:pPr>
        <w:pStyle w:val="Listeafsnit"/>
        <w:numPr>
          <w:ilvl w:val="0"/>
          <w:numId w:val="5"/>
        </w:numPr>
        <w:spacing w:line="480" w:lineRule="auto"/>
        <w:jc w:val="center"/>
        <w:rPr>
          <w:rFonts w:eastAsiaTheme="minorEastAsia"/>
        </w:rPr>
      </w:pPr>
      <m:oMath>
        <m:r>
          <w:rPr>
            <w:rFonts w:ascii="Cambria Math" w:hAnsi="Cambria Math"/>
          </w:rPr>
          <m:t>MR</m:t>
        </m:r>
        <m:d>
          <m:dPr>
            <m:ctrlPr>
              <w:rPr>
                <w:rFonts w:ascii="Cambria Math" w:hAnsi="Cambria Math"/>
                <w:i/>
              </w:rPr>
            </m:ctrlPr>
          </m:dPr>
          <m:e>
            <m:r>
              <w:rPr>
                <w:rFonts w:ascii="Cambria Math" w:hAnsi="Cambria Math"/>
              </w:rPr>
              <m:t>Money Ratio</m:t>
            </m:r>
          </m:e>
        </m:d>
        <m:r>
          <w:rPr>
            <w:rFonts w:ascii="Cambria Math" w:hAnsi="Cambria Math"/>
          </w:rPr>
          <m:t>=</m:t>
        </m:r>
        <m:f>
          <m:fPr>
            <m:ctrlPr>
              <w:rPr>
                <w:rFonts w:ascii="Cambria Math" w:hAnsi="Cambria Math"/>
                <w:i/>
              </w:rPr>
            </m:ctrlPr>
          </m:fPr>
          <m:num>
            <m:r>
              <w:rPr>
                <w:rFonts w:ascii="Cambria Math" w:hAnsi="Cambria Math"/>
              </w:rPr>
              <m:t>Positiv MF</m:t>
            </m:r>
          </m:num>
          <m:den>
            <m:r>
              <w:rPr>
                <w:rFonts w:ascii="Cambria Math" w:hAnsi="Cambria Math"/>
              </w:rPr>
              <m:t>Negativ MF</m:t>
            </m:r>
          </m:den>
        </m:f>
      </m:oMath>
    </w:p>
    <w:p w:rsidR="00A72198" w:rsidRPr="00742824" w:rsidRDefault="00A72198" w:rsidP="00A72198">
      <w:pPr>
        <w:pStyle w:val="Listeafsnit"/>
        <w:numPr>
          <w:ilvl w:val="0"/>
          <w:numId w:val="5"/>
        </w:numPr>
        <w:spacing w:line="480" w:lineRule="auto"/>
        <w:jc w:val="center"/>
        <w:rPr>
          <w:rFonts w:eastAsiaTheme="minorEastAsia"/>
        </w:rPr>
      </w:pPr>
      <m:oMath>
        <m:r>
          <w:rPr>
            <w:rFonts w:ascii="Cambria Math" w:hAnsi="Cambria Math"/>
          </w:rPr>
          <m:t>MFI=100-</m:t>
        </m:r>
        <m:f>
          <m:fPr>
            <m:ctrlPr>
              <w:rPr>
                <w:rFonts w:ascii="Cambria Math" w:hAnsi="Cambria Math"/>
                <w:i/>
              </w:rPr>
            </m:ctrlPr>
          </m:fPr>
          <m:num>
            <m:r>
              <w:rPr>
                <w:rFonts w:ascii="Cambria Math" w:hAnsi="Cambria Math"/>
              </w:rPr>
              <m:t>100</m:t>
            </m:r>
          </m:num>
          <m:den>
            <m:r>
              <w:rPr>
                <w:rFonts w:ascii="Cambria Math" w:hAnsi="Cambria Math"/>
              </w:rPr>
              <m:t>1+MR</m:t>
            </m:r>
          </m:den>
        </m:f>
      </m:oMath>
    </w:p>
    <w:p w:rsidR="00A72198" w:rsidRDefault="00A72198" w:rsidP="00A72198">
      <w:pPr>
        <w:pStyle w:val="Overskrift4"/>
        <w:rPr>
          <w:rFonts w:eastAsiaTheme="minorEastAsia"/>
        </w:rPr>
      </w:pPr>
      <w:r>
        <w:rPr>
          <w:rFonts w:eastAsiaTheme="minorEastAsia"/>
        </w:rPr>
        <w:t xml:space="preserve">Eksempel på Money Flow </w:t>
      </w:r>
      <w:proofErr w:type="spellStart"/>
      <w:r>
        <w:rPr>
          <w:rFonts w:eastAsiaTheme="minorEastAsia"/>
        </w:rPr>
        <w:t>Index</w:t>
      </w:r>
      <w:proofErr w:type="spellEnd"/>
      <w:r>
        <w:rPr>
          <w:rFonts w:eastAsiaTheme="minorEastAsia"/>
        </w:rPr>
        <w:t>:</w:t>
      </w:r>
    </w:p>
    <w:p w:rsidR="00A72198" w:rsidRPr="00795E42" w:rsidRDefault="00A72198" w:rsidP="00A72198"/>
    <w:p w:rsidR="00A72198" w:rsidRDefault="00A72198" w:rsidP="00A72198">
      <w:pPr>
        <w:jc w:val="center"/>
        <w:rPr>
          <w:b/>
          <w:color w:val="4F81BD" w:themeColor="accent1"/>
        </w:rPr>
      </w:pPr>
      <w:r>
        <w:rPr>
          <w:noProof/>
          <w:lang w:eastAsia="da-DK"/>
        </w:rPr>
        <w:lastRenderedPageBreak/>
        <w:drawing>
          <wp:inline distT="0" distB="0" distL="0" distR="0">
            <wp:extent cx="3019425" cy="2226615"/>
            <wp:effectExtent l="19050" t="0" r="9525" b="0"/>
            <wp:docPr id="19" name="Billede 1" descr="http://metatrader-indicators.com/metatrader-indicators-img/money-flow-ind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atrader-indicators.com/metatrader-indicators-img/money-flow-index.gif"/>
                    <pic:cNvPicPr>
                      <a:picLocks noChangeAspect="1" noChangeArrowheads="1"/>
                    </pic:cNvPicPr>
                  </pic:nvPicPr>
                  <pic:blipFill>
                    <a:blip r:embed="rId13" cstate="print"/>
                    <a:srcRect/>
                    <a:stretch>
                      <a:fillRect/>
                    </a:stretch>
                  </pic:blipFill>
                  <pic:spPr bwMode="auto">
                    <a:xfrm>
                      <a:off x="0" y="0"/>
                      <a:ext cx="3024485" cy="2230346"/>
                    </a:xfrm>
                    <a:prstGeom prst="rect">
                      <a:avLst/>
                    </a:prstGeom>
                    <a:noFill/>
                    <a:ln w="9525">
                      <a:noFill/>
                      <a:miter lim="800000"/>
                      <a:headEnd/>
                      <a:tailEnd/>
                    </a:ln>
                  </pic:spPr>
                </pic:pic>
              </a:graphicData>
            </a:graphic>
          </wp:inline>
        </w:drawing>
      </w:r>
    </w:p>
    <w:p w:rsidR="00A72198" w:rsidRDefault="00A72198" w:rsidP="00A72198">
      <w:pPr>
        <w:rPr>
          <w:b/>
          <w:color w:val="4F81BD" w:themeColor="accent1"/>
        </w:rPr>
      </w:pPr>
    </w:p>
    <w:p w:rsidR="00A72198" w:rsidRDefault="00A72198" w:rsidP="00A72198">
      <w:pPr>
        <w:pStyle w:val="Overskrift2"/>
      </w:pPr>
      <w:bookmarkStart w:id="12" w:name="_Toc277530020"/>
      <w:proofErr w:type="spellStart"/>
      <w:r>
        <w:t>Bollinger</w:t>
      </w:r>
      <w:proofErr w:type="spellEnd"/>
      <w:r>
        <w:t xml:space="preserve"> Bands: (</w:t>
      </w:r>
      <w:proofErr w:type="spellStart"/>
      <w:r>
        <w:t>Volatilitets</w:t>
      </w:r>
      <w:proofErr w:type="spellEnd"/>
      <w:r>
        <w:t xml:space="preserve"> indikator)</w:t>
      </w:r>
      <w:bookmarkEnd w:id="12"/>
    </w:p>
    <w:p w:rsidR="00A72198" w:rsidRDefault="00A72198" w:rsidP="00A72198">
      <w:r>
        <w:t xml:space="preserve">En indikator bestående af 3 linjer, liggende ovenpå kursgrafen. Den ene og midterste linje er et simpelt glidende gennemsnit (SGG), mens linjen over er SGG + (standardafvigelse *2), og nedre linje er SGG – (standardafvigelse * 2). For en mellemlang investeringshorisont anbefales et SGG på 20 dage. Dette afhænger af i hvor stor grad båndene afgiver købs – og salgssignaler. De 2 ydre bånd, illustrere det område hvori det er forventeligt at aktiekursen bevæger sig, i forhold til det glidende gennemsnit. </w:t>
      </w:r>
      <w:proofErr w:type="spellStart"/>
      <w:r>
        <w:t>Volatiliteten</w:t>
      </w:r>
      <w:proofErr w:type="spellEnd"/>
      <w:r>
        <w:t xml:space="preserve"> ses så på afstanden mellem de to ydre bånd, jo større afstand, jo højere </w:t>
      </w:r>
      <w:proofErr w:type="spellStart"/>
      <w:r>
        <w:t>volatilitet</w:t>
      </w:r>
      <w:proofErr w:type="spellEnd"/>
      <w:r>
        <w:t xml:space="preserve">. </w:t>
      </w:r>
    </w:p>
    <w:p w:rsidR="00A72198" w:rsidRDefault="00A72198" w:rsidP="00A72198">
      <w:r>
        <w:t xml:space="preserve">Signaler for </w:t>
      </w:r>
      <w:proofErr w:type="spellStart"/>
      <w:r>
        <w:t>Bollinger</w:t>
      </w:r>
      <w:proofErr w:type="spellEnd"/>
      <w:r>
        <w:t xml:space="preserve"> Bands: Brydes det øvre bånd af aktiekursen, i en optrend, forstærker det optrenden og det er et </w:t>
      </w:r>
      <w:proofErr w:type="spellStart"/>
      <w:r>
        <w:t>købssignal</w:t>
      </w:r>
      <w:proofErr w:type="spellEnd"/>
      <w:r>
        <w:t xml:space="preserve">. Modsat, hvis den bryder nederste bånd i en nedtrend, er det et salgssignal. I stærke nedtrends bevæger aktiekursen sig kun mellem midterste og nederste bånd, hvis dette mønster brydes og aktiekursen stiger over SGG, er det et </w:t>
      </w:r>
      <w:proofErr w:type="spellStart"/>
      <w:r>
        <w:t>købssignal</w:t>
      </w:r>
      <w:proofErr w:type="spellEnd"/>
      <w:r>
        <w:t xml:space="preserve">. Modsat ved stærke optrends, hvor aktiekursen kun bevæger sig mellem midterste og øverste bånd, er det et salgssignal hvis aktiekursen kommer under SGG. </w:t>
      </w:r>
    </w:p>
    <w:p w:rsidR="00A72198" w:rsidRDefault="00A72198" w:rsidP="00A72198">
      <w:pPr>
        <w:pStyle w:val="Overskrift4"/>
      </w:pPr>
      <w:r>
        <w:t xml:space="preserve">Eksempel på </w:t>
      </w:r>
      <w:proofErr w:type="spellStart"/>
      <w:r>
        <w:t>Bollinger</w:t>
      </w:r>
      <w:proofErr w:type="spellEnd"/>
      <w:r>
        <w:t xml:space="preserve"> Bands:</w:t>
      </w:r>
    </w:p>
    <w:p w:rsidR="00A72198" w:rsidRDefault="00A72198" w:rsidP="00A72198"/>
    <w:p w:rsidR="00A72198" w:rsidRDefault="00A72198" w:rsidP="00A72198">
      <w:pPr>
        <w:jc w:val="center"/>
      </w:pPr>
      <w:r>
        <w:rPr>
          <w:noProof/>
          <w:lang w:eastAsia="da-DK"/>
        </w:rPr>
        <w:drawing>
          <wp:inline distT="0" distB="0" distL="0" distR="0">
            <wp:extent cx="2724150" cy="2061225"/>
            <wp:effectExtent l="19050" t="0" r="0" b="0"/>
            <wp:docPr id="20" name="Billede 4" descr="http://www.fxwords.com/images/words/bollinger_b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xwords.com/images/words/bollinger_bands.jpg"/>
                    <pic:cNvPicPr>
                      <a:picLocks noChangeAspect="1" noChangeArrowheads="1"/>
                    </pic:cNvPicPr>
                  </pic:nvPicPr>
                  <pic:blipFill>
                    <a:blip r:embed="rId14" cstate="print"/>
                    <a:srcRect/>
                    <a:stretch>
                      <a:fillRect/>
                    </a:stretch>
                  </pic:blipFill>
                  <pic:spPr bwMode="auto">
                    <a:xfrm>
                      <a:off x="0" y="0"/>
                      <a:ext cx="2724150" cy="2057400"/>
                    </a:xfrm>
                    <a:prstGeom prst="rect">
                      <a:avLst/>
                    </a:prstGeom>
                    <a:noFill/>
                    <a:ln w="9525">
                      <a:noFill/>
                      <a:miter lim="800000"/>
                      <a:headEnd/>
                      <a:tailEnd/>
                    </a:ln>
                  </pic:spPr>
                </pic:pic>
              </a:graphicData>
            </a:graphic>
          </wp:inline>
        </w:drawing>
      </w:r>
    </w:p>
    <w:p w:rsidR="00A72198" w:rsidRDefault="00A72198" w:rsidP="00A72198"/>
    <w:p w:rsidR="00A72198" w:rsidRDefault="00A72198" w:rsidP="00A72198">
      <w:pPr>
        <w:pStyle w:val="Overskrift1"/>
        <w:rPr>
          <w:rFonts w:eastAsiaTheme="minorEastAsia"/>
        </w:rPr>
      </w:pPr>
      <w:bookmarkStart w:id="13" w:name="_Toc277530021"/>
      <w:r>
        <w:rPr>
          <w:rFonts w:eastAsiaTheme="minorEastAsia"/>
        </w:rPr>
        <w:lastRenderedPageBreak/>
        <w:t xml:space="preserve">Trin 3, </w:t>
      </w:r>
      <w:r w:rsidR="00AB7D78">
        <w:rPr>
          <w:rFonts w:eastAsiaTheme="minorEastAsia"/>
        </w:rPr>
        <w:t>Fundamental analyse på Industrielt niveau:</w:t>
      </w:r>
      <w:bookmarkEnd w:id="13"/>
    </w:p>
    <w:p w:rsidR="00A72198" w:rsidRDefault="00A72198" w:rsidP="00A72198">
      <w:r>
        <w:t>Branchemæssigt kigges der på den overordnede vækst i omsætningen og stigende/faldende antal medarbejdere. Desuden kan som skitse bruges følgende model, til at vurdere hvilken branche man skal undersøge i forhold til de konjunkturmæssige forhold.</w:t>
      </w:r>
    </w:p>
    <w:p w:rsidR="00A72198" w:rsidRDefault="00A72198" w:rsidP="00A72198">
      <w:pPr>
        <w:jc w:val="center"/>
        <w:rPr>
          <w:b/>
          <w:noProof/>
          <w:sz w:val="24"/>
          <w:szCs w:val="24"/>
          <w:lang w:eastAsia="da-DK"/>
        </w:rPr>
      </w:pPr>
      <w:r w:rsidRPr="005E6D25">
        <w:rPr>
          <w:b/>
          <w:noProof/>
          <w:sz w:val="24"/>
          <w:szCs w:val="24"/>
          <w:lang w:eastAsia="da-DK"/>
        </w:rPr>
        <w:t xml:space="preserve"> </w:t>
      </w:r>
      <w:r w:rsidRPr="005E6D25">
        <w:rPr>
          <w:b/>
          <w:noProof/>
          <w:sz w:val="24"/>
          <w:szCs w:val="24"/>
          <w:lang w:eastAsia="da-DK"/>
        </w:rPr>
        <w:drawing>
          <wp:inline distT="0" distB="0" distL="0" distR="0">
            <wp:extent cx="3512104" cy="2162175"/>
            <wp:effectExtent l="19050" t="0" r="0" b="0"/>
            <wp:docPr id="6" name="Billede 10" descr="http://static.seekingalpha.com/uploads/2009/2/15/saupload_s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seekingalpha.com/uploads/2009/2/15/saupload_sector.png"/>
                    <pic:cNvPicPr>
                      <a:picLocks noChangeAspect="1" noChangeArrowheads="1"/>
                    </pic:cNvPicPr>
                  </pic:nvPicPr>
                  <pic:blipFill>
                    <a:blip r:embed="rId15" cstate="print"/>
                    <a:srcRect/>
                    <a:stretch>
                      <a:fillRect/>
                    </a:stretch>
                  </pic:blipFill>
                  <pic:spPr bwMode="auto">
                    <a:xfrm>
                      <a:off x="0" y="0"/>
                      <a:ext cx="3523096" cy="2168942"/>
                    </a:xfrm>
                    <a:prstGeom prst="rect">
                      <a:avLst/>
                    </a:prstGeom>
                    <a:noFill/>
                    <a:ln w="9525">
                      <a:noFill/>
                      <a:miter lim="800000"/>
                      <a:headEnd/>
                      <a:tailEnd/>
                    </a:ln>
                  </pic:spPr>
                </pic:pic>
              </a:graphicData>
            </a:graphic>
          </wp:inline>
        </w:drawing>
      </w:r>
    </w:p>
    <w:p w:rsidR="00A72198" w:rsidRPr="00D96905" w:rsidRDefault="00A72198" w:rsidP="00A72198">
      <w:pPr>
        <w:rPr>
          <w:noProof/>
          <w:lang w:eastAsia="da-DK"/>
        </w:rPr>
      </w:pPr>
      <w:r>
        <w:rPr>
          <w:noProof/>
          <w:lang w:eastAsia="da-DK"/>
        </w:rPr>
        <w:t>Ordf</w:t>
      </w:r>
      <w:r w:rsidRPr="00D96905">
        <w:rPr>
          <w:noProof/>
          <w:lang w:eastAsia="da-DK"/>
        </w:rPr>
        <w:t xml:space="preserve">orklaring: </w:t>
      </w:r>
    </w:p>
    <w:p w:rsidR="00A72198" w:rsidRPr="00D96905" w:rsidRDefault="00A72198" w:rsidP="00A72198">
      <w:pPr>
        <w:pStyle w:val="Listeafsnit"/>
        <w:numPr>
          <w:ilvl w:val="0"/>
          <w:numId w:val="8"/>
        </w:numPr>
        <w:ind w:left="709" w:hanging="425"/>
        <w:rPr>
          <w:noProof/>
          <w:lang w:eastAsia="da-DK"/>
        </w:rPr>
      </w:pPr>
      <w:r w:rsidRPr="00D96905">
        <w:rPr>
          <w:noProof/>
          <w:lang w:eastAsia="da-DK"/>
        </w:rPr>
        <w:t xml:space="preserve">Utilities = Forsyningsselskab, </w:t>
      </w:r>
      <w:r>
        <w:rPr>
          <w:noProof/>
          <w:lang w:eastAsia="da-DK"/>
        </w:rPr>
        <w:t>teleselskaber</w:t>
      </w:r>
    </w:p>
    <w:p w:rsidR="00A72198" w:rsidRPr="00D96905" w:rsidRDefault="00A72198" w:rsidP="00A72198">
      <w:pPr>
        <w:pStyle w:val="Listeafsnit"/>
        <w:numPr>
          <w:ilvl w:val="0"/>
          <w:numId w:val="8"/>
        </w:numPr>
        <w:ind w:left="709" w:hanging="425"/>
        <w:rPr>
          <w:lang w:eastAsia="da-DK"/>
        </w:rPr>
      </w:pPr>
      <w:r w:rsidRPr="00D96905">
        <w:rPr>
          <w:noProof/>
          <w:lang w:eastAsia="da-DK"/>
        </w:rPr>
        <w:t xml:space="preserve">Cyclicals = </w:t>
      </w:r>
      <w:r w:rsidRPr="00D96905">
        <w:rPr>
          <w:lang w:eastAsia="da-DK"/>
        </w:rPr>
        <w:t>Bilproducenter, luftfartsselskaber (transport)</w:t>
      </w:r>
    </w:p>
    <w:p w:rsidR="00A72198" w:rsidRDefault="00A72198" w:rsidP="00A72198">
      <w:pPr>
        <w:pStyle w:val="Listeafsnit"/>
        <w:numPr>
          <w:ilvl w:val="0"/>
          <w:numId w:val="8"/>
        </w:numPr>
        <w:ind w:left="709" w:hanging="425"/>
        <w:rPr>
          <w:rFonts w:eastAsia="Times New Roman" w:cs="Arial"/>
          <w:lang w:eastAsia="da-DK"/>
        </w:rPr>
      </w:pPr>
      <w:r w:rsidRPr="00D96905">
        <w:rPr>
          <w:lang w:eastAsia="da-DK"/>
        </w:rPr>
        <w:t xml:space="preserve">Staples = </w:t>
      </w:r>
      <w:r w:rsidRPr="00D96905">
        <w:rPr>
          <w:rFonts w:eastAsia="Times New Roman" w:cs="Arial"/>
          <w:lang w:eastAsia="da-DK"/>
        </w:rPr>
        <w:t>Mad, drikkevarer, tobak, sundhedsydelser og andre husholdningsartikler</w:t>
      </w:r>
      <w:r>
        <w:rPr>
          <w:rFonts w:eastAsia="Times New Roman" w:cs="Arial"/>
          <w:lang w:eastAsia="da-DK"/>
        </w:rPr>
        <w:t>.</w:t>
      </w:r>
    </w:p>
    <w:p w:rsidR="00A72198" w:rsidRDefault="00A72198" w:rsidP="00A72198">
      <w:pPr>
        <w:jc w:val="both"/>
        <w:rPr>
          <w:rFonts w:eastAsia="Times New Roman" w:cs="Arial"/>
          <w:lang w:eastAsia="da-DK"/>
        </w:rPr>
      </w:pPr>
      <w:r>
        <w:rPr>
          <w:rFonts w:eastAsia="Times New Roman" w:cs="Arial"/>
          <w:lang w:eastAsia="da-DK"/>
        </w:rPr>
        <w:t>Denne model kan kun benyttes som en tommelfingerregel, da undtagelser nemt kan forekomme. Dog er det en mulighed for cirka at udregne hvilke brancher, der har stigende vækst i forhold til de konjunkturmæssige forhold.</w:t>
      </w:r>
    </w:p>
    <w:p w:rsidR="00AB7D78" w:rsidRDefault="00AB7D78" w:rsidP="00A72198">
      <w:pPr>
        <w:pStyle w:val="Overskrift1"/>
      </w:pPr>
      <w:bookmarkStart w:id="14" w:name="_Toc277530022"/>
      <w:r>
        <w:t>Trin 4, Teknisk analyse på Industrielt niveau:</w:t>
      </w:r>
      <w:bookmarkEnd w:id="14"/>
    </w:p>
    <w:p w:rsidR="00A72198" w:rsidRDefault="00FF4151" w:rsidP="00AB7D78">
      <w:r>
        <w:t>De tekniske</w:t>
      </w:r>
      <w:r w:rsidR="00AB7D78">
        <w:t xml:space="preserve"> indikatorer og </w:t>
      </w:r>
      <w:proofErr w:type="spellStart"/>
      <w:r w:rsidR="00AB7D78">
        <w:t>oscilatorer</w:t>
      </w:r>
      <w:proofErr w:type="spellEnd"/>
      <w:r w:rsidR="00AB7D78">
        <w:t xml:space="preserve"> benyttes til at udpege de bedste virksomheder, på baggrund af deres grafer.</w:t>
      </w:r>
    </w:p>
    <w:p w:rsidR="001D044F" w:rsidRDefault="00AB7D78" w:rsidP="00AB7D78">
      <w:pPr>
        <w:pStyle w:val="Overskrift1"/>
        <w:rPr>
          <w:noProof/>
          <w:lang w:eastAsia="da-DK"/>
        </w:rPr>
      </w:pPr>
      <w:bookmarkStart w:id="15" w:name="_Toc277530023"/>
      <w:r>
        <w:rPr>
          <w:noProof/>
          <w:lang w:eastAsia="da-DK"/>
        </w:rPr>
        <w:t>Trin 5, Fundamental analyse på Virksomhedsspecifikt n</w:t>
      </w:r>
      <w:r w:rsidR="001908EC">
        <w:rPr>
          <w:noProof/>
          <w:lang w:eastAsia="da-DK"/>
        </w:rPr>
        <w:t>iveau:</w:t>
      </w:r>
      <w:bookmarkEnd w:id="15"/>
    </w:p>
    <w:p w:rsidR="001908EC" w:rsidRDefault="001908EC" w:rsidP="001908EC">
      <w:pPr>
        <w:rPr>
          <w:lang w:eastAsia="da-DK"/>
        </w:rPr>
      </w:pPr>
      <w:r>
        <w:rPr>
          <w:lang w:eastAsia="da-DK"/>
        </w:rPr>
        <w:t>Det er nu tid for at udpege den bedste investering inden for den valgte branche i det valgte land. Hertil bruges 2 forskellige analyser, nemlig den kvalitative analyse og den kvantitative analyse (regnskabsanalysen). Den kvalitative analyse er en vurdering af virksomhedens ledelse, deres fremtidsplaner, virksomhedens fremtidige muligheder og virksomhedsplanen. Til det formål er bl.a. en SWOT</w:t>
      </w:r>
      <w:r w:rsidR="00FF4151">
        <w:rPr>
          <w:lang w:eastAsia="da-DK"/>
        </w:rPr>
        <w:t xml:space="preserve"> analyse god. Dernæst benyttes den kvantitative analyse.</w:t>
      </w:r>
    </w:p>
    <w:p w:rsidR="001908EC" w:rsidRDefault="00AB7D78" w:rsidP="00AB7D78">
      <w:pPr>
        <w:pStyle w:val="Overskrift1"/>
        <w:rPr>
          <w:lang w:eastAsia="da-DK"/>
        </w:rPr>
      </w:pPr>
      <w:bookmarkStart w:id="16" w:name="_Toc277530024"/>
      <w:r>
        <w:rPr>
          <w:lang w:eastAsia="da-DK"/>
        </w:rPr>
        <w:lastRenderedPageBreak/>
        <w:t>Trin 6, Regnskabsanalyse på Virksomhedsspecifikt Niveau</w:t>
      </w:r>
      <w:r w:rsidR="001908EC">
        <w:rPr>
          <w:lang w:eastAsia="da-DK"/>
        </w:rPr>
        <w:t>:</w:t>
      </w:r>
      <w:bookmarkEnd w:id="16"/>
    </w:p>
    <w:p w:rsidR="00AB7D78" w:rsidRDefault="00AB7D78" w:rsidP="001908EC">
      <w:pPr>
        <w:rPr>
          <w:lang w:eastAsia="da-DK"/>
        </w:rPr>
      </w:pPr>
      <w:r>
        <w:rPr>
          <w:lang w:eastAsia="da-DK"/>
        </w:rPr>
        <w:t xml:space="preserve">Nu introduceres så den kvantitative analyse (regnskabsanalysen) for gennem virksomhedens </w:t>
      </w:r>
      <w:r w:rsidR="00FF4151">
        <w:rPr>
          <w:lang w:eastAsia="da-DK"/>
        </w:rPr>
        <w:t xml:space="preserve">regnskab </w:t>
      </w:r>
      <w:r>
        <w:rPr>
          <w:lang w:eastAsia="da-DK"/>
        </w:rPr>
        <w:t>at bedømme om det er en god investering.</w:t>
      </w:r>
    </w:p>
    <w:p w:rsidR="001908EC" w:rsidRDefault="001908EC" w:rsidP="001908EC">
      <w:pPr>
        <w:rPr>
          <w:lang w:eastAsia="da-DK"/>
        </w:rPr>
      </w:pPr>
      <w:r>
        <w:rPr>
          <w:lang w:eastAsia="da-DK"/>
        </w:rPr>
        <w:t>Et regnskab opdeles i 6 dele:</w:t>
      </w:r>
    </w:p>
    <w:p w:rsidR="001908EC" w:rsidRDefault="001908EC" w:rsidP="001908EC">
      <w:pPr>
        <w:pStyle w:val="Listeafsnit"/>
        <w:numPr>
          <w:ilvl w:val="0"/>
          <w:numId w:val="9"/>
        </w:numPr>
        <w:rPr>
          <w:lang w:eastAsia="da-DK"/>
        </w:rPr>
      </w:pPr>
      <w:r>
        <w:rPr>
          <w:lang w:eastAsia="da-DK"/>
        </w:rPr>
        <w:t>En hilsen og beskrivelse fra bestyrelsen og ledelsen.</w:t>
      </w:r>
    </w:p>
    <w:p w:rsidR="001908EC" w:rsidRDefault="001908EC" w:rsidP="001908EC">
      <w:pPr>
        <w:pStyle w:val="Listeafsnit"/>
        <w:numPr>
          <w:ilvl w:val="0"/>
          <w:numId w:val="9"/>
        </w:numPr>
        <w:rPr>
          <w:lang w:eastAsia="da-DK"/>
        </w:rPr>
      </w:pPr>
      <w:r>
        <w:rPr>
          <w:lang w:eastAsia="da-DK"/>
        </w:rPr>
        <w:t>En resultatopgørelse</w:t>
      </w:r>
    </w:p>
    <w:p w:rsidR="001908EC" w:rsidRDefault="001908EC" w:rsidP="001908EC">
      <w:pPr>
        <w:pStyle w:val="Listeafsnit"/>
        <w:numPr>
          <w:ilvl w:val="0"/>
          <w:numId w:val="9"/>
        </w:numPr>
        <w:rPr>
          <w:lang w:eastAsia="da-DK"/>
        </w:rPr>
      </w:pPr>
      <w:r>
        <w:rPr>
          <w:lang w:eastAsia="da-DK"/>
        </w:rPr>
        <w:t>En balance</w:t>
      </w:r>
    </w:p>
    <w:p w:rsidR="001908EC" w:rsidRDefault="001908EC" w:rsidP="001908EC">
      <w:pPr>
        <w:pStyle w:val="Listeafsnit"/>
        <w:numPr>
          <w:ilvl w:val="0"/>
          <w:numId w:val="9"/>
        </w:numPr>
        <w:rPr>
          <w:lang w:eastAsia="da-DK"/>
        </w:rPr>
      </w:pPr>
      <w:r>
        <w:rPr>
          <w:lang w:eastAsia="da-DK"/>
        </w:rPr>
        <w:t>En pengestrømsopgørelse</w:t>
      </w:r>
    </w:p>
    <w:p w:rsidR="001908EC" w:rsidRDefault="001908EC" w:rsidP="001908EC">
      <w:pPr>
        <w:pStyle w:val="Listeafsnit"/>
        <w:numPr>
          <w:ilvl w:val="0"/>
          <w:numId w:val="9"/>
        </w:numPr>
        <w:rPr>
          <w:lang w:eastAsia="da-DK"/>
        </w:rPr>
      </w:pPr>
      <w:r>
        <w:rPr>
          <w:lang w:eastAsia="da-DK"/>
        </w:rPr>
        <w:t>Noter</w:t>
      </w:r>
    </w:p>
    <w:p w:rsidR="001908EC" w:rsidRDefault="001908EC" w:rsidP="001908EC">
      <w:pPr>
        <w:pStyle w:val="Listeafsnit"/>
        <w:numPr>
          <w:ilvl w:val="0"/>
          <w:numId w:val="9"/>
        </w:numPr>
        <w:rPr>
          <w:lang w:eastAsia="da-DK"/>
        </w:rPr>
      </w:pPr>
      <w:r>
        <w:rPr>
          <w:lang w:eastAsia="da-DK"/>
        </w:rPr>
        <w:t>Revisionspåtegnelse</w:t>
      </w:r>
    </w:p>
    <w:p w:rsidR="0079437B" w:rsidRDefault="0079437B" w:rsidP="00E10699">
      <w:pPr>
        <w:pStyle w:val="Overskrift3"/>
        <w:rPr>
          <w:lang w:eastAsia="da-DK"/>
        </w:rPr>
      </w:pPr>
      <w:bookmarkStart w:id="17" w:name="_Toc277530025"/>
      <w:r>
        <w:rPr>
          <w:lang w:eastAsia="da-DK"/>
        </w:rPr>
        <w:t>Regnskabsgennemgang:</w:t>
      </w:r>
      <w:bookmarkEnd w:id="17"/>
    </w:p>
    <w:p w:rsidR="00E10699" w:rsidRPr="00E10699" w:rsidRDefault="00E10699" w:rsidP="00E10699">
      <w:pPr>
        <w:rPr>
          <w:lang w:eastAsia="da-DK"/>
        </w:rPr>
      </w:pPr>
    </w:p>
    <w:p w:rsidR="001908EC" w:rsidRDefault="001908EC" w:rsidP="00E10699">
      <w:pPr>
        <w:rPr>
          <w:lang w:eastAsia="da-DK"/>
        </w:rPr>
      </w:pPr>
      <w:r w:rsidRPr="00E10699">
        <w:rPr>
          <w:rStyle w:val="Overskrift4Tegn"/>
        </w:rPr>
        <w:t>Hilsen og beskrivelse fra bestyrelsen og ledelsen:</w:t>
      </w:r>
      <w:r w:rsidR="0079437B">
        <w:rPr>
          <w:lang w:eastAsia="da-DK"/>
        </w:rPr>
        <w:t xml:space="preserve"> </w:t>
      </w:r>
      <w:r>
        <w:rPr>
          <w:lang w:eastAsia="da-DK"/>
        </w:rPr>
        <w:t xml:space="preserve">Et regnskab starter med nogen sidder skrevet af virksomhedens ledelse/bestyrelse, der skal beskrive virksomheden pt. Det er vigtigt man her forholder sig til at beskrivelsen ofte er meget subjektiv. Derudover skal man være på vagt overfor hvor store risikoer der er forbundet med virksomhedens </w:t>
      </w:r>
      <w:r w:rsidR="009E2B86">
        <w:rPr>
          <w:lang w:eastAsia="da-DK"/>
        </w:rPr>
        <w:t>aktiviteter og produkter. Derudover er det utroværdigt hvis virksomheden har modvind, eller i løbet af det forgangne år har været i modvind, og at dette ikke er nævnt.</w:t>
      </w:r>
    </w:p>
    <w:p w:rsidR="00E10699" w:rsidRDefault="00E10699" w:rsidP="00E10699">
      <w:pPr>
        <w:rPr>
          <w:lang w:eastAsia="da-DK"/>
        </w:rPr>
      </w:pPr>
    </w:p>
    <w:p w:rsidR="00AB7D78" w:rsidRPr="00AC1875" w:rsidRDefault="009E2B86" w:rsidP="00E10699">
      <w:pPr>
        <w:rPr>
          <w:lang w:eastAsia="da-DK"/>
        </w:rPr>
      </w:pPr>
      <w:r w:rsidRPr="00E10699">
        <w:rPr>
          <w:rStyle w:val="Overskrift4Tegn"/>
        </w:rPr>
        <w:t>Resultatopgørelse:</w:t>
      </w:r>
      <w:r w:rsidR="0079437B">
        <w:rPr>
          <w:lang w:eastAsia="da-DK"/>
        </w:rPr>
        <w:t xml:space="preserve"> </w:t>
      </w:r>
      <w:r w:rsidR="00AC1875">
        <w:rPr>
          <w:lang w:eastAsia="da-DK"/>
        </w:rPr>
        <w:t xml:space="preserve">Her ses et meget forenklet eksempel på en resultatopgørelse. Oftest er der opgjort mange flere poster, således at f.eks. ”omkostninger, produktion” består af mange forskellige omkostninger. Det vigtige her er dog mellemregningerne, Omsætning, Bruttoresultat, Resultat før renter og skat og Årets resultat. </w:t>
      </w:r>
    </w:p>
    <w:p w:rsidR="008C21FA" w:rsidRPr="008C21FA" w:rsidRDefault="008C21FA" w:rsidP="008C21FA">
      <w:pPr>
        <w:rPr>
          <w:lang w:eastAsia="da-DK"/>
        </w:rPr>
      </w:pPr>
    </w:p>
    <w:tbl>
      <w:tblPr>
        <w:tblStyle w:val="Tabel-Gitter"/>
        <w:tblW w:w="0" w:type="auto"/>
        <w:tblLook w:val="04A0"/>
      </w:tblPr>
      <w:tblGrid>
        <w:gridCol w:w="3850"/>
      </w:tblGrid>
      <w:tr w:rsidR="009D01A2" w:rsidRPr="009D01A2" w:rsidTr="009D01A2">
        <w:trPr>
          <w:trHeight w:val="300"/>
        </w:trPr>
        <w:tc>
          <w:tcPr>
            <w:tcW w:w="3850" w:type="dxa"/>
            <w:tcBorders>
              <w:top w:val="nil"/>
              <w:left w:val="nil"/>
              <w:bottom w:val="nil"/>
              <w:right w:val="nil"/>
            </w:tcBorders>
          </w:tcPr>
          <w:p w:rsidR="009D01A2" w:rsidRPr="009D01A2" w:rsidRDefault="0028211C" w:rsidP="009D01A2">
            <w:pPr>
              <w:jc w:val="center"/>
              <w:rPr>
                <w:lang w:eastAsia="da-DK"/>
              </w:rPr>
            </w:pPr>
            <w:r>
              <w:rPr>
                <w:noProof/>
                <w:lang w:eastAsia="da-DK"/>
              </w:rPr>
              <w:pict>
                <v:shapetype id="_x0000_t32" coordsize="21600,21600" o:spt="32" o:oned="t" path="m,l21600,21600e" filled="f">
                  <v:path arrowok="t" fillok="f" o:connecttype="none"/>
                  <o:lock v:ext="edit" shapetype="t"/>
                </v:shapetype>
                <v:shape id="_x0000_s1026" type="#_x0000_t32" style="position:absolute;left:0;text-align:left;margin-left:121.8pt;margin-top:8.8pt;width:94.5pt;height:5.25pt;flip:x y;z-index:251658240" o:connectortype="straight">
                  <v:stroke endarrow="block"/>
                </v:shape>
              </w:pict>
            </w:r>
            <w:r w:rsidR="009D01A2" w:rsidRPr="009D01A2">
              <w:rPr>
                <w:lang w:eastAsia="da-DK"/>
              </w:rPr>
              <w:t>Omsætning</w:t>
            </w:r>
          </w:p>
        </w:tc>
      </w:tr>
      <w:tr w:rsidR="009D01A2" w:rsidRPr="009D01A2" w:rsidTr="009D01A2">
        <w:trPr>
          <w:trHeight w:val="300"/>
        </w:trPr>
        <w:tc>
          <w:tcPr>
            <w:tcW w:w="3850" w:type="dxa"/>
            <w:tcBorders>
              <w:top w:val="nil"/>
              <w:left w:val="nil"/>
              <w:bottom w:val="single" w:sz="4" w:space="0" w:color="auto"/>
              <w:right w:val="nil"/>
            </w:tcBorders>
          </w:tcPr>
          <w:p w:rsidR="009D01A2" w:rsidRPr="009D01A2" w:rsidRDefault="0028211C" w:rsidP="009D01A2">
            <w:pPr>
              <w:jc w:val="center"/>
              <w:rPr>
                <w:b/>
                <w:color w:val="FF0000"/>
                <w:lang w:eastAsia="da-DK"/>
              </w:rPr>
            </w:pPr>
            <w:r>
              <w:rPr>
                <w:b/>
                <w:noProof/>
                <w:color w:val="FF0000"/>
                <w:lang w:eastAsia="da-DK"/>
              </w:rPr>
              <w:pict>
                <v:shape id="_x0000_s1035" type="#_x0000_t32" style="position:absolute;left:0;text-align:left;margin-left:197.55pt;margin-top:7.3pt;width:18.75pt;height:26.25pt;z-index:251665408;mso-position-horizontal-relative:text;mso-position-vertical-relative:text" o:connectortype="straight"/>
              </w:pict>
            </w:r>
            <w:r>
              <w:rPr>
                <w:b/>
                <w:noProof/>
                <w:color w:val="FF0000"/>
                <w:lang w:eastAsia="da-DK"/>
              </w:rPr>
              <w:pict>
                <v:shape id="_x0000_s1034" type="#_x0000_t32" style="position:absolute;left:0;text-align:left;margin-left:159.3pt;margin-top:7.3pt;width:38.25pt;height:0;flip:x;z-index:251664384;mso-position-horizontal-relative:text;mso-position-vertical-relative:text" o:connectortype="straight">
                  <v:stroke endarrow="block"/>
                </v:shape>
              </w:pict>
            </w:r>
            <w:r w:rsidR="009D01A2" w:rsidRPr="009D01A2">
              <w:rPr>
                <w:b/>
                <w:color w:val="FF0000"/>
                <w:lang w:eastAsia="da-DK"/>
              </w:rPr>
              <w:t>- Omkostninger, produktion</w:t>
            </w:r>
          </w:p>
        </w:tc>
      </w:tr>
      <w:tr w:rsidR="009D01A2" w:rsidRPr="009D01A2" w:rsidTr="009D01A2">
        <w:trPr>
          <w:trHeight w:val="300"/>
        </w:trPr>
        <w:tc>
          <w:tcPr>
            <w:tcW w:w="3850" w:type="dxa"/>
            <w:tcBorders>
              <w:top w:val="single" w:sz="4" w:space="0" w:color="auto"/>
              <w:left w:val="nil"/>
              <w:bottom w:val="nil"/>
              <w:right w:val="nil"/>
            </w:tcBorders>
          </w:tcPr>
          <w:p w:rsidR="009D01A2" w:rsidRPr="009D01A2" w:rsidRDefault="009D01A2" w:rsidP="009D01A2">
            <w:pPr>
              <w:jc w:val="center"/>
              <w:rPr>
                <w:i/>
                <w:lang w:eastAsia="da-DK"/>
              </w:rPr>
            </w:pPr>
            <w:r w:rsidRPr="009D01A2">
              <w:rPr>
                <w:i/>
                <w:lang w:eastAsia="da-DK"/>
              </w:rPr>
              <w:t>= Bruttoresultat</w:t>
            </w:r>
          </w:p>
        </w:tc>
      </w:tr>
      <w:tr w:rsidR="009D01A2" w:rsidRPr="009D01A2" w:rsidTr="009D01A2">
        <w:trPr>
          <w:trHeight w:val="300"/>
        </w:trPr>
        <w:tc>
          <w:tcPr>
            <w:tcW w:w="3850" w:type="dxa"/>
            <w:tcBorders>
              <w:top w:val="nil"/>
              <w:left w:val="nil"/>
              <w:bottom w:val="single" w:sz="4" w:space="0" w:color="auto"/>
              <w:right w:val="nil"/>
            </w:tcBorders>
          </w:tcPr>
          <w:p w:rsidR="009D01A2" w:rsidRPr="009D01A2" w:rsidRDefault="0028211C" w:rsidP="009D01A2">
            <w:pPr>
              <w:jc w:val="center"/>
              <w:rPr>
                <w:b/>
                <w:color w:val="FF0000"/>
                <w:lang w:eastAsia="da-DK"/>
              </w:rPr>
            </w:pPr>
            <w:r>
              <w:rPr>
                <w:b/>
                <w:noProof/>
                <w:color w:val="FF0000"/>
                <w:lang w:eastAsia="da-DK"/>
              </w:rPr>
              <w:pict>
                <v:shape id="_x0000_s1029" type="#_x0000_t32" style="position:absolute;left:0;text-align:left;margin-left:142.05pt;margin-top:6.8pt;width:59.25pt;height:0;flip:x;z-index:251661312;mso-position-horizontal-relative:text;mso-position-vertical-relative:text" o:connectortype="straight">
                  <v:stroke endarrow="block"/>
                </v:shape>
              </w:pict>
            </w:r>
            <w:r>
              <w:rPr>
                <w:b/>
                <w:noProof/>
                <w:color w:val="FF0000"/>
                <w:lang w:eastAsia="da-DK"/>
              </w:rPr>
              <w:pict>
                <v:shape id="_x0000_s1028" type="#_x0000_t32" style="position:absolute;left:0;text-align:left;margin-left:201.3pt;margin-top:6.8pt;width:15pt;height:53.25pt;flip:x y;z-index:251660288;mso-position-horizontal-relative:text;mso-position-vertical-relative:text" o:connectortype="straight"/>
              </w:pict>
            </w:r>
            <w:r w:rsidR="009D01A2">
              <w:rPr>
                <w:b/>
                <w:color w:val="FF0000"/>
                <w:lang w:eastAsia="da-DK"/>
              </w:rPr>
              <w:t xml:space="preserve">- </w:t>
            </w:r>
            <w:proofErr w:type="spellStart"/>
            <w:r w:rsidR="009D01A2" w:rsidRPr="009D01A2">
              <w:rPr>
                <w:b/>
                <w:color w:val="FF0000"/>
                <w:lang w:eastAsia="da-DK"/>
              </w:rPr>
              <w:t>Driftomkostninger</w:t>
            </w:r>
            <w:proofErr w:type="spellEnd"/>
          </w:p>
        </w:tc>
      </w:tr>
      <w:tr w:rsidR="009D01A2" w:rsidRPr="009D01A2" w:rsidTr="009D01A2">
        <w:trPr>
          <w:trHeight w:val="300"/>
        </w:trPr>
        <w:tc>
          <w:tcPr>
            <w:tcW w:w="3850" w:type="dxa"/>
            <w:tcBorders>
              <w:top w:val="single" w:sz="4" w:space="0" w:color="auto"/>
              <w:left w:val="nil"/>
              <w:bottom w:val="nil"/>
              <w:right w:val="nil"/>
            </w:tcBorders>
          </w:tcPr>
          <w:p w:rsidR="009D01A2" w:rsidRPr="009D01A2" w:rsidRDefault="009D01A2" w:rsidP="009D01A2">
            <w:pPr>
              <w:jc w:val="center"/>
              <w:rPr>
                <w:i/>
                <w:lang w:eastAsia="da-DK"/>
              </w:rPr>
            </w:pPr>
            <w:r w:rsidRPr="009D01A2">
              <w:rPr>
                <w:i/>
                <w:lang w:eastAsia="da-DK"/>
              </w:rPr>
              <w:t>= Resultat før renter og skat</w:t>
            </w:r>
            <w:r w:rsidR="008C21FA">
              <w:rPr>
                <w:i/>
                <w:lang w:eastAsia="da-DK"/>
              </w:rPr>
              <w:t xml:space="preserve"> (EBIT)</w:t>
            </w:r>
          </w:p>
        </w:tc>
      </w:tr>
      <w:tr w:rsidR="009D01A2" w:rsidRPr="009D01A2" w:rsidTr="009D01A2">
        <w:trPr>
          <w:trHeight w:val="300"/>
        </w:trPr>
        <w:tc>
          <w:tcPr>
            <w:tcW w:w="3850" w:type="dxa"/>
            <w:tcBorders>
              <w:top w:val="nil"/>
              <w:left w:val="nil"/>
              <w:bottom w:val="nil"/>
              <w:right w:val="nil"/>
            </w:tcBorders>
          </w:tcPr>
          <w:p w:rsidR="009D01A2" w:rsidRPr="009D01A2" w:rsidRDefault="009D01A2" w:rsidP="009D01A2">
            <w:pPr>
              <w:jc w:val="center"/>
              <w:rPr>
                <w:b/>
                <w:color w:val="FF0000"/>
                <w:lang w:eastAsia="da-DK"/>
              </w:rPr>
            </w:pPr>
            <w:r>
              <w:rPr>
                <w:b/>
                <w:color w:val="FF0000"/>
                <w:lang w:eastAsia="da-DK"/>
              </w:rPr>
              <w:t xml:space="preserve">- </w:t>
            </w:r>
            <w:r w:rsidRPr="009D01A2">
              <w:rPr>
                <w:b/>
                <w:color w:val="FF0000"/>
                <w:lang w:eastAsia="da-DK"/>
              </w:rPr>
              <w:t>Skat</w:t>
            </w:r>
          </w:p>
        </w:tc>
      </w:tr>
      <w:tr w:rsidR="009D01A2" w:rsidRPr="009D01A2" w:rsidTr="009D01A2">
        <w:trPr>
          <w:trHeight w:val="300"/>
        </w:trPr>
        <w:tc>
          <w:tcPr>
            <w:tcW w:w="3850" w:type="dxa"/>
            <w:tcBorders>
              <w:top w:val="nil"/>
              <w:left w:val="nil"/>
              <w:bottom w:val="nil"/>
              <w:right w:val="nil"/>
            </w:tcBorders>
          </w:tcPr>
          <w:p w:rsidR="009D01A2" w:rsidRPr="009D01A2" w:rsidRDefault="009D01A2" w:rsidP="009D01A2">
            <w:pPr>
              <w:jc w:val="center"/>
              <w:rPr>
                <w:b/>
                <w:color w:val="00B050"/>
                <w:lang w:eastAsia="da-DK"/>
              </w:rPr>
            </w:pPr>
            <w:r>
              <w:rPr>
                <w:b/>
                <w:color w:val="00B050"/>
                <w:lang w:eastAsia="da-DK"/>
              </w:rPr>
              <w:t xml:space="preserve">+ </w:t>
            </w:r>
            <w:r w:rsidRPr="009D01A2">
              <w:rPr>
                <w:b/>
                <w:color w:val="00B050"/>
                <w:lang w:eastAsia="da-DK"/>
              </w:rPr>
              <w:t>Renteindtægter</w:t>
            </w:r>
          </w:p>
        </w:tc>
      </w:tr>
      <w:tr w:rsidR="009D01A2" w:rsidRPr="009D01A2" w:rsidTr="009D01A2">
        <w:trPr>
          <w:trHeight w:val="300"/>
        </w:trPr>
        <w:tc>
          <w:tcPr>
            <w:tcW w:w="3850" w:type="dxa"/>
            <w:tcBorders>
              <w:top w:val="nil"/>
              <w:left w:val="nil"/>
              <w:bottom w:val="single" w:sz="4" w:space="0" w:color="auto"/>
              <w:right w:val="nil"/>
            </w:tcBorders>
          </w:tcPr>
          <w:p w:rsidR="009D01A2" w:rsidRPr="009D01A2" w:rsidRDefault="009D01A2" w:rsidP="009D01A2">
            <w:pPr>
              <w:jc w:val="center"/>
              <w:rPr>
                <w:b/>
                <w:color w:val="FF0000"/>
                <w:lang w:eastAsia="da-DK"/>
              </w:rPr>
            </w:pPr>
            <w:r>
              <w:rPr>
                <w:b/>
                <w:color w:val="FF0000"/>
                <w:lang w:eastAsia="da-DK"/>
              </w:rPr>
              <w:t xml:space="preserve">- </w:t>
            </w:r>
            <w:r w:rsidRPr="009D01A2">
              <w:rPr>
                <w:b/>
                <w:color w:val="FF0000"/>
                <w:lang w:eastAsia="da-DK"/>
              </w:rPr>
              <w:t>Renteudgifter</w:t>
            </w:r>
          </w:p>
        </w:tc>
      </w:tr>
      <w:tr w:rsidR="009D01A2" w:rsidRPr="009D01A2" w:rsidTr="009D01A2">
        <w:trPr>
          <w:trHeight w:val="300"/>
        </w:trPr>
        <w:tc>
          <w:tcPr>
            <w:tcW w:w="3850" w:type="dxa"/>
            <w:tcBorders>
              <w:top w:val="single" w:sz="4" w:space="0" w:color="auto"/>
              <w:left w:val="nil"/>
              <w:bottom w:val="double" w:sz="4" w:space="0" w:color="auto"/>
              <w:right w:val="nil"/>
            </w:tcBorders>
          </w:tcPr>
          <w:p w:rsidR="009D01A2" w:rsidRPr="009D01A2" w:rsidRDefault="0028211C" w:rsidP="009D01A2">
            <w:pPr>
              <w:jc w:val="center"/>
              <w:rPr>
                <w:i/>
                <w:lang w:eastAsia="da-DK"/>
              </w:rPr>
            </w:pPr>
            <w:r>
              <w:rPr>
                <w:i/>
                <w:noProof/>
                <w:lang w:eastAsia="da-DK"/>
              </w:rPr>
              <w:pict>
                <v:shape id="_x0000_s1032" type="#_x0000_t32" style="position:absolute;left:0;text-align:left;margin-left:201.3pt;margin-top:6.55pt;width:15pt;height:16.5pt;z-index:251663360;mso-position-horizontal-relative:text;mso-position-vertical-relative:text" o:connectortype="straight"/>
              </w:pict>
            </w:r>
            <w:r>
              <w:rPr>
                <w:i/>
                <w:noProof/>
                <w:lang w:eastAsia="da-DK"/>
              </w:rPr>
              <w:pict>
                <v:shape id="_x0000_s1031" type="#_x0000_t32" style="position:absolute;left:0;text-align:left;margin-left:130.8pt;margin-top:6.55pt;width:70.5pt;height:.75pt;flip:x;z-index:251662336;mso-position-horizontal-relative:text;mso-position-vertical-relative:text" o:connectortype="straight">
                  <v:stroke endarrow="block"/>
                </v:shape>
              </w:pict>
            </w:r>
            <w:r w:rsidR="009D01A2" w:rsidRPr="009D01A2">
              <w:rPr>
                <w:i/>
                <w:lang w:eastAsia="da-DK"/>
              </w:rPr>
              <w:t>= Årets Resultat</w:t>
            </w:r>
          </w:p>
        </w:tc>
      </w:tr>
    </w:tbl>
    <w:tbl>
      <w:tblPr>
        <w:tblStyle w:val="Tabel-Gitter"/>
        <w:tblpPr w:leftFromText="141" w:rightFromText="141" w:vertAnchor="text" w:horzAnchor="margin" w:tblpXSpec="right" w:tblpY="-2633"/>
        <w:tblW w:w="0" w:type="auto"/>
        <w:tblBorders>
          <w:left w:val="none" w:sz="0" w:space="0" w:color="auto"/>
          <w:right w:val="none" w:sz="0" w:space="0" w:color="auto"/>
        </w:tblBorders>
        <w:tblLook w:val="04A0"/>
      </w:tblPr>
      <w:tblGrid>
        <w:gridCol w:w="5310"/>
      </w:tblGrid>
      <w:tr w:rsidR="009D01A2" w:rsidTr="008C21FA">
        <w:trPr>
          <w:trHeight w:val="297"/>
        </w:trPr>
        <w:tc>
          <w:tcPr>
            <w:tcW w:w="5310" w:type="dxa"/>
            <w:tcBorders>
              <w:left w:val="single" w:sz="4" w:space="0" w:color="auto"/>
              <w:right w:val="single" w:sz="4" w:space="0" w:color="auto"/>
            </w:tcBorders>
            <w:vAlign w:val="center"/>
          </w:tcPr>
          <w:p w:rsidR="009D01A2" w:rsidRDefault="009D01A2" w:rsidP="009D01A2">
            <w:pPr>
              <w:jc w:val="center"/>
              <w:rPr>
                <w:lang w:eastAsia="da-DK"/>
              </w:rPr>
            </w:pPr>
            <w:r>
              <w:rPr>
                <w:lang w:eastAsia="da-DK"/>
              </w:rPr>
              <w:lastRenderedPageBreak/>
              <w:t>Den årlige omsætning</w:t>
            </w:r>
          </w:p>
        </w:tc>
      </w:tr>
      <w:tr w:rsidR="009D01A2" w:rsidTr="008C21FA">
        <w:trPr>
          <w:trHeight w:val="101"/>
        </w:trPr>
        <w:tc>
          <w:tcPr>
            <w:tcW w:w="5310" w:type="dxa"/>
            <w:tcBorders>
              <w:bottom w:val="single" w:sz="4" w:space="0" w:color="auto"/>
            </w:tcBorders>
            <w:vAlign w:val="center"/>
          </w:tcPr>
          <w:p w:rsidR="009D01A2" w:rsidRPr="008C21FA" w:rsidRDefault="009D01A2" w:rsidP="009D01A2">
            <w:pPr>
              <w:jc w:val="center"/>
              <w:rPr>
                <w:sz w:val="16"/>
                <w:szCs w:val="16"/>
                <w:lang w:eastAsia="da-DK"/>
              </w:rPr>
            </w:pPr>
          </w:p>
        </w:tc>
      </w:tr>
      <w:tr w:rsidR="009D01A2" w:rsidTr="008C21FA">
        <w:trPr>
          <w:trHeight w:val="1047"/>
        </w:trPr>
        <w:tc>
          <w:tcPr>
            <w:tcW w:w="5310" w:type="dxa"/>
            <w:tcBorders>
              <w:left w:val="single" w:sz="4" w:space="0" w:color="auto"/>
              <w:right w:val="single" w:sz="4" w:space="0" w:color="auto"/>
            </w:tcBorders>
            <w:vAlign w:val="center"/>
          </w:tcPr>
          <w:p w:rsidR="009D01A2" w:rsidRDefault="008C21FA" w:rsidP="009D01A2">
            <w:pPr>
              <w:jc w:val="center"/>
              <w:rPr>
                <w:lang w:eastAsia="da-DK"/>
              </w:rPr>
            </w:pPr>
            <w:r>
              <w:rPr>
                <w:lang w:eastAsia="da-DK"/>
              </w:rPr>
              <w:t>Fra omsætningen fratrækkes produktionsomkostningerne (af de solgte varer)</w:t>
            </w:r>
          </w:p>
        </w:tc>
      </w:tr>
      <w:tr w:rsidR="009D01A2" w:rsidTr="008C21FA">
        <w:trPr>
          <w:trHeight w:val="70"/>
        </w:trPr>
        <w:tc>
          <w:tcPr>
            <w:tcW w:w="5310" w:type="dxa"/>
            <w:tcBorders>
              <w:bottom w:val="single" w:sz="4" w:space="0" w:color="auto"/>
            </w:tcBorders>
            <w:vAlign w:val="center"/>
          </w:tcPr>
          <w:p w:rsidR="009D01A2" w:rsidRPr="008C21FA" w:rsidRDefault="009D01A2" w:rsidP="009D01A2">
            <w:pPr>
              <w:jc w:val="center"/>
              <w:rPr>
                <w:sz w:val="16"/>
                <w:szCs w:val="16"/>
                <w:lang w:eastAsia="da-DK"/>
              </w:rPr>
            </w:pPr>
          </w:p>
        </w:tc>
      </w:tr>
      <w:tr w:rsidR="008C21FA" w:rsidTr="008C21FA">
        <w:trPr>
          <w:trHeight w:val="476"/>
        </w:trPr>
        <w:tc>
          <w:tcPr>
            <w:tcW w:w="5310" w:type="dxa"/>
            <w:tcBorders>
              <w:left w:val="single" w:sz="4" w:space="0" w:color="auto"/>
              <w:right w:val="single" w:sz="4" w:space="0" w:color="auto"/>
            </w:tcBorders>
            <w:vAlign w:val="center"/>
          </w:tcPr>
          <w:p w:rsidR="008C21FA" w:rsidRDefault="008C21FA" w:rsidP="009D01A2">
            <w:pPr>
              <w:jc w:val="center"/>
              <w:rPr>
                <w:lang w:eastAsia="da-DK"/>
              </w:rPr>
            </w:pPr>
            <w:r>
              <w:rPr>
                <w:lang w:eastAsia="da-DK"/>
              </w:rPr>
              <w:t>Fra bruttoresultatet trækkes driftsomkostninger (f.eks. administration, marketing, udvikling og afskrivninger.)</w:t>
            </w:r>
          </w:p>
        </w:tc>
      </w:tr>
      <w:tr w:rsidR="008C21FA" w:rsidTr="008C21FA">
        <w:trPr>
          <w:trHeight w:val="70"/>
        </w:trPr>
        <w:tc>
          <w:tcPr>
            <w:tcW w:w="5310" w:type="dxa"/>
            <w:tcBorders>
              <w:bottom w:val="single" w:sz="4" w:space="0" w:color="auto"/>
            </w:tcBorders>
            <w:vAlign w:val="center"/>
          </w:tcPr>
          <w:p w:rsidR="008C21FA" w:rsidRPr="008C21FA" w:rsidRDefault="008C21FA" w:rsidP="009D01A2">
            <w:pPr>
              <w:jc w:val="center"/>
              <w:rPr>
                <w:sz w:val="16"/>
                <w:szCs w:val="16"/>
                <w:lang w:eastAsia="da-DK"/>
              </w:rPr>
            </w:pPr>
          </w:p>
        </w:tc>
      </w:tr>
      <w:tr w:rsidR="008C21FA" w:rsidTr="008C21FA">
        <w:trPr>
          <w:trHeight w:val="476"/>
        </w:trPr>
        <w:tc>
          <w:tcPr>
            <w:tcW w:w="5310" w:type="dxa"/>
            <w:tcBorders>
              <w:left w:val="single" w:sz="4" w:space="0" w:color="auto"/>
              <w:right w:val="single" w:sz="4" w:space="0" w:color="auto"/>
            </w:tcBorders>
            <w:vAlign w:val="center"/>
          </w:tcPr>
          <w:p w:rsidR="008C21FA" w:rsidRDefault="008C21FA" w:rsidP="009D01A2">
            <w:pPr>
              <w:jc w:val="center"/>
              <w:rPr>
                <w:lang w:eastAsia="da-DK"/>
              </w:rPr>
            </w:pPr>
            <w:r>
              <w:rPr>
                <w:lang w:eastAsia="da-DK"/>
              </w:rPr>
              <w:t>Endelige resultat (overskud eller underskud)</w:t>
            </w:r>
          </w:p>
        </w:tc>
      </w:tr>
    </w:tbl>
    <w:p w:rsidR="009D01A2" w:rsidRDefault="009D01A2" w:rsidP="009D01A2">
      <w:pPr>
        <w:rPr>
          <w:lang w:eastAsia="da-DK"/>
        </w:rPr>
      </w:pPr>
    </w:p>
    <w:p w:rsidR="009D01A2" w:rsidRDefault="00AC1875" w:rsidP="009D01A2">
      <w:pPr>
        <w:rPr>
          <w:lang w:eastAsia="da-DK"/>
        </w:rPr>
      </w:pPr>
      <w:r>
        <w:rPr>
          <w:lang w:eastAsia="da-DK"/>
        </w:rPr>
        <w:t>Når resultatopgørelsen gennemlæses er det vigtigt at man er vågen overfor kreative måder, at gemme underskud m.m. Derfor er det vigtigt at læse revisorens noter.</w:t>
      </w:r>
    </w:p>
    <w:p w:rsidR="00E10699" w:rsidRDefault="00E10699" w:rsidP="009D01A2">
      <w:pPr>
        <w:rPr>
          <w:lang w:eastAsia="da-DK"/>
        </w:rPr>
      </w:pPr>
    </w:p>
    <w:p w:rsidR="009E4D35" w:rsidRDefault="00AC1875" w:rsidP="00E10699">
      <w:pPr>
        <w:rPr>
          <w:lang w:eastAsia="da-DK"/>
        </w:rPr>
      </w:pPr>
      <w:r w:rsidRPr="00E10699">
        <w:rPr>
          <w:rStyle w:val="Overskrift4Tegn"/>
        </w:rPr>
        <w:t>Balance:</w:t>
      </w:r>
      <w:r w:rsidR="00E10699">
        <w:rPr>
          <w:lang w:eastAsia="da-DK"/>
        </w:rPr>
        <w:t xml:space="preserve"> </w:t>
      </w:r>
      <w:r w:rsidR="009E4D35">
        <w:rPr>
          <w:lang w:eastAsia="da-DK"/>
        </w:rPr>
        <w:t xml:space="preserve">Balancen er et øjebliksbillede af virksomhedens likviditet (hvad virksomheden er værd). </w:t>
      </w:r>
    </w:p>
    <w:p w:rsidR="00AC1875" w:rsidRDefault="009E4D35" w:rsidP="00AC1875">
      <w:pPr>
        <w:rPr>
          <w:lang w:eastAsia="da-DK"/>
        </w:rPr>
      </w:pPr>
      <w:r>
        <w:rPr>
          <w:lang w:eastAsia="da-DK"/>
        </w:rPr>
        <w:t>Aktiverne består af materielle anlægsaktiver (maskiner og bygninger), immaterielle anlægsaktiver (</w:t>
      </w:r>
      <w:proofErr w:type="spellStart"/>
      <w:r>
        <w:rPr>
          <w:lang w:eastAsia="da-DK"/>
        </w:rPr>
        <w:t>know</w:t>
      </w:r>
      <w:proofErr w:type="spellEnd"/>
      <w:r>
        <w:rPr>
          <w:lang w:eastAsia="da-DK"/>
        </w:rPr>
        <w:t xml:space="preserve"> </w:t>
      </w:r>
      <w:proofErr w:type="spellStart"/>
      <w:r>
        <w:rPr>
          <w:lang w:eastAsia="da-DK"/>
        </w:rPr>
        <w:t>how</w:t>
      </w:r>
      <w:proofErr w:type="spellEnd"/>
      <w:r>
        <w:rPr>
          <w:lang w:eastAsia="da-DK"/>
        </w:rPr>
        <w:t xml:space="preserve"> og patenter), plus de finansielle anlægsaktiver (værdipapirer m.m.). Desuden er der omsætningsaktiver (værdipapirer og varelager).</w:t>
      </w:r>
    </w:p>
    <w:p w:rsidR="009E4D35" w:rsidRDefault="009E4D35" w:rsidP="00AC1875">
      <w:pPr>
        <w:rPr>
          <w:lang w:eastAsia="da-DK"/>
        </w:rPr>
      </w:pPr>
      <w:r>
        <w:rPr>
          <w:lang w:eastAsia="da-DK"/>
        </w:rPr>
        <w:t xml:space="preserve">Passiverne består af langfristet gæld (skal ikke betales indenfor det næste år, fra regnskabsårets afslutning) og kortfristet gæld (skal betales indenfor det næste år, fra regnskabsårets afslutning). Til sidst er der egenkapitalen, denne udregnes som forskellen mellem aktiver og passiverne.  Balancen skal altid stemme. </w:t>
      </w:r>
    </w:p>
    <w:tbl>
      <w:tblPr>
        <w:tblStyle w:val="Tabel-Gitter"/>
        <w:tblW w:w="0" w:type="auto"/>
        <w:tblLayout w:type="fixed"/>
        <w:tblLook w:val="04A0"/>
      </w:tblPr>
      <w:tblGrid>
        <w:gridCol w:w="4928"/>
        <w:gridCol w:w="236"/>
        <w:gridCol w:w="4614"/>
      </w:tblGrid>
      <w:tr w:rsidR="00AC1875" w:rsidTr="00A373A4">
        <w:tc>
          <w:tcPr>
            <w:tcW w:w="9778" w:type="dxa"/>
            <w:gridSpan w:val="3"/>
            <w:tcBorders>
              <w:bottom w:val="single" w:sz="4" w:space="0" w:color="auto"/>
            </w:tcBorders>
            <w:shd w:val="clear" w:color="auto" w:fill="BFBFBF" w:themeFill="background1" w:themeFillShade="BF"/>
          </w:tcPr>
          <w:p w:rsidR="00AC1875" w:rsidRPr="00A373A4" w:rsidRDefault="00127982" w:rsidP="00127982">
            <w:pPr>
              <w:jc w:val="center"/>
              <w:rPr>
                <w:b/>
                <w:i/>
                <w:lang w:eastAsia="da-DK"/>
              </w:rPr>
            </w:pPr>
            <w:r w:rsidRPr="00A373A4">
              <w:rPr>
                <w:b/>
                <w:i/>
                <w:lang w:eastAsia="da-DK"/>
              </w:rPr>
              <w:t>BALANCE</w:t>
            </w:r>
          </w:p>
        </w:tc>
      </w:tr>
      <w:tr w:rsidR="00AC1875" w:rsidTr="00AC1875">
        <w:trPr>
          <w:trHeight w:val="70"/>
        </w:trPr>
        <w:tc>
          <w:tcPr>
            <w:tcW w:w="9778" w:type="dxa"/>
            <w:gridSpan w:val="3"/>
            <w:tcBorders>
              <w:left w:val="nil"/>
              <w:bottom w:val="nil"/>
              <w:right w:val="nil"/>
            </w:tcBorders>
          </w:tcPr>
          <w:p w:rsidR="00AC1875" w:rsidRPr="00AC1875" w:rsidRDefault="00AC1875" w:rsidP="00AC1875">
            <w:pPr>
              <w:rPr>
                <w:sz w:val="16"/>
                <w:szCs w:val="16"/>
                <w:lang w:eastAsia="da-DK"/>
              </w:rPr>
            </w:pPr>
          </w:p>
        </w:tc>
      </w:tr>
      <w:tr w:rsidR="00AC1875" w:rsidTr="00AC1875">
        <w:tc>
          <w:tcPr>
            <w:tcW w:w="4928" w:type="dxa"/>
            <w:tcBorders>
              <w:top w:val="single" w:sz="4" w:space="0" w:color="auto"/>
            </w:tcBorders>
          </w:tcPr>
          <w:p w:rsidR="00AC1875" w:rsidRDefault="00AC1875" w:rsidP="00AC1875">
            <w:pPr>
              <w:rPr>
                <w:lang w:eastAsia="da-DK"/>
              </w:rPr>
            </w:pPr>
            <w:r>
              <w:rPr>
                <w:lang w:eastAsia="da-DK"/>
              </w:rPr>
              <w:t>Aktiver:</w:t>
            </w:r>
          </w:p>
          <w:p w:rsidR="00AC1875" w:rsidRDefault="00AC1875" w:rsidP="00AC1875">
            <w:pPr>
              <w:jc w:val="center"/>
              <w:rPr>
                <w:lang w:eastAsia="da-DK"/>
              </w:rPr>
            </w:pPr>
            <w:r>
              <w:rPr>
                <w:lang w:eastAsia="da-DK"/>
              </w:rPr>
              <w:t>Anlægsaktiver</w:t>
            </w:r>
          </w:p>
          <w:p w:rsidR="00AC1875" w:rsidRDefault="00AC1875" w:rsidP="00AC1875">
            <w:pPr>
              <w:jc w:val="center"/>
              <w:rPr>
                <w:lang w:eastAsia="da-DK"/>
              </w:rPr>
            </w:pPr>
            <w:r>
              <w:rPr>
                <w:lang w:eastAsia="da-DK"/>
              </w:rPr>
              <w:t>+ Omsætningsaktiver</w:t>
            </w:r>
          </w:p>
        </w:tc>
        <w:tc>
          <w:tcPr>
            <w:tcW w:w="236" w:type="dxa"/>
            <w:tcBorders>
              <w:top w:val="nil"/>
              <w:bottom w:val="nil"/>
            </w:tcBorders>
          </w:tcPr>
          <w:p w:rsidR="00AC1875" w:rsidRDefault="00AC1875" w:rsidP="00AC1875">
            <w:pPr>
              <w:rPr>
                <w:lang w:eastAsia="da-DK"/>
              </w:rPr>
            </w:pPr>
          </w:p>
        </w:tc>
        <w:tc>
          <w:tcPr>
            <w:tcW w:w="4614" w:type="dxa"/>
            <w:tcBorders>
              <w:top w:val="single" w:sz="4" w:space="0" w:color="auto"/>
            </w:tcBorders>
          </w:tcPr>
          <w:p w:rsidR="00AC1875" w:rsidRDefault="00AC1875" w:rsidP="00AC1875">
            <w:pPr>
              <w:rPr>
                <w:lang w:eastAsia="da-DK"/>
              </w:rPr>
            </w:pPr>
            <w:r>
              <w:rPr>
                <w:lang w:eastAsia="da-DK"/>
              </w:rPr>
              <w:t>Passiver:</w:t>
            </w:r>
          </w:p>
          <w:p w:rsidR="00AC1875" w:rsidRDefault="00AC1875" w:rsidP="00AC1875">
            <w:pPr>
              <w:jc w:val="center"/>
              <w:rPr>
                <w:lang w:eastAsia="da-DK"/>
              </w:rPr>
            </w:pPr>
            <w:r>
              <w:rPr>
                <w:lang w:eastAsia="da-DK"/>
              </w:rPr>
              <w:t>Egenkapital</w:t>
            </w:r>
          </w:p>
          <w:p w:rsidR="00AC1875" w:rsidRDefault="00AC1875" w:rsidP="00AC1875">
            <w:pPr>
              <w:jc w:val="center"/>
              <w:rPr>
                <w:lang w:eastAsia="da-DK"/>
              </w:rPr>
            </w:pPr>
            <w:r>
              <w:rPr>
                <w:lang w:eastAsia="da-DK"/>
              </w:rPr>
              <w:t>+ Langfristet gæld</w:t>
            </w:r>
          </w:p>
          <w:p w:rsidR="00AC1875" w:rsidRDefault="00AC1875" w:rsidP="00AC1875">
            <w:pPr>
              <w:jc w:val="center"/>
              <w:rPr>
                <w:lang w:eastAsia="da-DK"/>
              </w:rPr>
            </w:pPr>
            <w:r>
              <w:rPr>
                <w:lang w:eastAsia="da-DK"/>
              </w:rPr>
              <w:t>+ Kortfristet gæld</w:t>
            </w:r>
          </w:p>
        </w:tc>
      </w:tr>
      <w:tr w:rsidR="00AC1875" w:rsidTr="00AC1875">
        <w:tc>
          <w:tcPr>
            <w:tcW w:w="4928" w:type="dxa"/>
          </w:tcPr>
          <w:p w:rsidR="00AC1875" w:rsidRDefault="00127982" w:rsidP="00127982">
            <w:pPr>
              <w:jc w:val="center"/>
              <w:rPr>
                <w:lang w:eastAsia="da-DK"/>
              </w:rPr>
            </w:pPr>
            <w:r>
              <w:rPr>
                <w:lang w:eastAsia="da-DK"/>
              </w:rPr>
              <w:t>= Aktiver i alt:</w:t>
            </w:r>
          </w:p>
        </w:tc>
        <w:tc>
          <w:tcPr>
            <w:tcW w:w="236" w:type="dxa"/>
            <w:tcBorders>
              <w:top w:val="nil"/>
              <w:bottom w:val="nil"/>
            </w:tcBorders>
          </w:tcPr>
          <w:p w:rsidR="00AC1875" w:rsidRDefault="00AC1875" w:rsidP="00AC1875">
            <w:pPr>
              <w:rPr>
                <w:lang w:eastAsia="da-DK"/>
              </w:rPr>
            </w:pPr>
          </w:p>
        </w:tc>
        <w:tc>
          <w:tcPr>
            <w:tcW w:w="4614" w:type="dxa"/>
          </w:tcPr>
          <w:p w:rsidR="00AC1875" w:rsidRDefault="00127982" w:rsidP="00127982">
            <w:pPr>
              <w:jc w:val="center"/>
              <w:rPr>
                <w:lang w:eastAsia="da-DK"/>
              </w:rPr>
            </w:pPr>
            <w:r>
              <w:rPr>
                <w:lang w:eastAsia="da-DK"/>
              </w:rPr>
              <w:t>= Passiver i alt</w:t>
            </w:r>
          </w:p>
        </w:tc>
      </w:tr>
    </w:tbl>
    <w:p w:rsidR="00AC1875" w:rsidRDefault="00AC1875" w:rsidP="00AC1875">
      <w:pPr>
        <w:rPr>
          <w:lang w:eastAsia="da-DK"/>
        </w:rPr>
      </w:pPr>
    </w:p>
    <w:p w:rsidR="00E10699" w:rsidRDefault="00E10699" w:rsidP="00AC1875">
      <w:pPr>
        <w:rPr>
          <w:lang w:eastAsia="da-DK"/>
        </w:rPr>
      </w:pPr>
    </w:p>
    <w:p w:rsidR="0079437B" w:rsidRDefault="009E4D35" w:rsidP="00E10699">
      <w:pPr>
        <w:rPr>
          <w:lang w:eastAsia="da-DK"/>
        </w:rPr>
      </w:pPr>
      <w:r w:rsidRPr="00E10699">
        <w:rPr>
          <w:rStyle w:val="Overskrift4Tegn"/>
        </w:rPr>
        <w:t>Pengestrømsopgørelse:</w:t>
      </w:r>
      <w:r w:rsidR="00E10699">
        <w:rPr>
          <w:lang w:eastAsia="da-DK"/>
        </w:rPr>
        <w:t xml:space="preserve"> </w:t>
      </w:r>
      <w:r w:rsidR="0079437B">
        <w:rPr>
          <w:lang w:eastAsia="da-DK"/>
        </w:rPr>
        <w:t>En pengestrømsopgørelse viser hvorledes en virksomhed styrer strømmen af penge ind og ud, i løbet af et år. Pengestrømsopgørelsen består af 3 dele:</w:t>
      </w:r>
    </w:p>
    <w:p w:rsidR="009E4D35" w:rsidRDefault="0079437B" w:rsidP="0079437B">
      <w:pPr>
        <w:pStyle w:val="Listeafsnit"/>
        <w:numPr>
          <w:ilvl w:val="0"/>
          <w:numId w:val="13"/>
        </w:numPr>
        <w:rPr>
          <w:lang w:eastAsia="da-DK"/>
        </w:rPr>
      </w:pPr>
      <w:r>
        <w:rPr>
          <w:lang w:eastAsia="da-DK"/>
        </w:rPr>
        <w:t>Pengestrøm fra driften: Hvor mange penge virksomheden fik fra det daglige salg i løbet af perioden.</w:t>
      </w:r>
    </w:p>
    <w:p w:rsidR="0079437B" w:rsidRDefault="0079437B" w:rsidP="0079437B">
      <w:pPr>
        <w:pStyle w:val="Listeafsnit"/>
        <w:numPr>
          <w:ilvl w:val="0"/>
          <w:numId w:val="13"/>
        </w:numPr>
        <w:rPr>
          <w:lang w:eastAsia="da-DK"/>
        </w:rPr>
      </w:pPr>
      <w:r>
        <w:rPr>
          <w:lang w:eastAsia="da-DK"/>
        </w:rPr>
        <w:t>Pengestrøm fra investeringer: Penge fra investeringer i virksomhedens anlægsaktiver (maskiner, bygninger m.m.)</w:t>
      </w:r>
    </w:p>
    <w:p w:rsidR="0079437B" w:rsidRDefault="0079437B" w:rsidP="0079437B">
      <w:pPr>
        <w:pStyle w:val="Listeafsnit"/>
        <w:numPr>
          <w:ilvl w:val="0"/>
          <w:numId w:val="13"/>
        </w:numPr>
        <w:rPr>
          <w:lang w:eastAsia="da-DK"/>
        </w:rPr>
      </w:pPr>
      <w:r>
        <w:rPr>
          <w:lang w:eastAsia="da-DK"/>
        </w:rPr>
        <w:t>Pengestrøm fra finansieringer: Penge der kommer fra salg og køb af aktier, såvel som penge brugt på at betale lån tilbage.</w:t>
      </w:r>
    </w:p>
    <w:p w:rsidR="0079437B" w:rsidRDefault="0079437B" w:rsidP="0079437B">
      <w:pPr>
        <w:rPr>
          <w:lang w:eastAsia="da-DK"/>
        </w:rPr>
      </w:pPr>
      <w:r>
        <w:rPr>
          <w:lang w:eastAsia="da-DK"/>
        </w:rPr>
        <w:t>Disse 3 ting udgør tilsammen virksomhedens soliditet. Dette lægges så sammen med den beholdning af penge virksomheden havde ved årets start, og man har beholdningen ved årets afslutning.</w:t>
      </w:r>
    </w:p>
    <w:p w:rsidR="009D01A2" w:rsidRDefault="0079437B" w:rsidP="00E10699">
      <w:pPr>
        <w:rPr>
          <w:lang w:eastAsia="da-DK"/>
        </w:rPr>
      </w:pPr>
      <w:r w:rsidRPr="00E10699">
        <w:rPr>
          <w:rStyle w:val="Overskrift4Tegn"/>
        </w:rPr>
        <w:t>Revisionspåtegnelse:</w:t>
      </w:r>
      <w:r w:rsidR="00E10699">
        <w:rPr>
          <w:lang w:eastAsia="da-DK"/>
        </w:rPr>
        <w:t xml:space="preserve"> </w:t>
      </w:r>
      <w:r>
        <w:rPr>
          <w:lang w:eastAsia="da-DK"/>
        </w:rPr>
        <w:t xml:space="preserve">Før et regnskab kommer ud til offentligheden skal der gennemlæses og godkendes af en revisor. </w:t>
      </w:r>
    </w:p>
    <w:p w:rsidR="0079437B" w:rsidRDefault="0079437B" w:rsidP="00E10699">
      <w:pPr>
        <w:rPr>
          <w:lang w:eastAsia="da-DK"/>
        </w:rPr>
      </w:pPr>
      <w:r w:rsidRPr="00E10699">
        <w:rPr>
          <w:rStyle w:val="Overskrift4Tegn"/>
        </w:rPr>
        <w:t>Noter:</w:t>
      </w:r>
      <w:r w:rsidR="00E10699">
        <w:rPr>
          <w:lang w:eastAsia="da-DK"/>
        </w:rPr>
        <w:t xml:space="preserve"> </w:t>
      </w:r>
      <w:r>
        <w:rPr>
          <w:lang w:eastAsia="da-DK"/>
        </w:rPr>
        <w:t>Revisoren kommer med noter til regnskabet, hvis noget afviger fra standarden.</w:t>
      </w:r>
    </w:p>
    <w:p w:rsidR="0079437B" w:rsidRPr="0079437B" w:rsidRDefault="0079437B" w:rsidP="0079437B">
      <w:pPr>
        <w:pStyle w:val="Overskrift2"/>
        <w:rPr>
          <w:lang w:eastAsia="da-DK"/>
        </w:rPr>
      </w:pPr>
      <w:bookmarkStart w:id="18" w:name="_Toc277530026"/>
      <w:r>
        <w:rPr>
          <w:lang w:eastAsia="da-DK"/>
        </w:rPr>
        <w:lastRenderedPageBreak/>
        <w:t>Nøgletal:</w:t>
      </w:r>
      <w:bookmarkEnd w:id="18"/>
    </w:p>
    <w:p w:rsidR="009D01A2" w:rsidRDefault="000E1BF2" w:rsidP="009D01A2">
      <w:pPr>
        <w:rPr>
          <w:lang w:eastAsia="da-DK"/>
        </w:rPr>
      </w:pPr>
      <w:r>
        <w:rPr>
          <w:lang w:eastAsia="da-DK"/>
        </w:rPr>
        <w:t xml:space="preserve">Når man behandler en virksomheds regnskaber, kan det være svært at gennemskue </w:t>
      </w:r>
      <w:r w:rsidR="00AA32CF">
        <w:rPr>
          <w:lang w:eastAsia="da-DK"/>
        </w:rPr>
        <w:t>hvorvidt virksomheden er en god investering eller ej. Et eksempel kan være at en virksomhed flere år i streg har haft underskud grundet store investeringer i maskiner m.m. for på længere sigt at minimere omkostningerne. I et sådant tilfælde er der røde tal på bundlinjen, men virksomheden kan stadig godt være en god investering. Så for at finde de gode virksomheder benyttes nøgletal.</w:t>
      </w:r>
      <w:r w:rsidR="000F344D">
        <w:rPr>
          <w:lang w:eastAsia="da-DK"/>
        </w:rPr>
        <w:t xml:space="preserve"> Nøgletal fortæller noget om, hvorvidt en aktie er over – eller undervurderet, altså er aktiekursen for høj eller for lav i forhold til virksomheden. Målet er at finde en undervurderet aktie.</w:t>
      </w:r>
    </w:p>
    <w:p w:rsidR="00AA32CF" w:rsidRDefault="000F344D" w:rsidP="00AA32CF">
      <w:pPr>
        <w:pStyle w:val="Overskrift3"/>
        <w:rPr>
          <w:lang w:eastAsia="da-DK"/>
        </w:rPr>
      </w:pPr>
      <w:bookmarkStart w:id="19" w:name="_Toc277530027"/>
      <w:r>
        <w:rPr>
          <w:lang w:eastAsia="da-DK"/>
        </w:rPr>
        <w:t>Resultat pr. A</w:t>
      </w:r>
      <w:r w:rsidR="00AA32CF">
        <w:rPr>
          <w:lang w:eastAsia="da-DK"/>
        </w:rPr>
        <w:t>ktie</w:t>
      </w:r>
      <w:r>
        <w:rPr>
          <w:lang w:eastAsia="da-DK"/>
        </w:rPr>
        <w:t xml:space="preserve"> (</w:t>
      </w:r>
      <w:proofErr w:type="spellStart"/>
      <w:r>
        <w:rPr>
          <w:lang w:eastAsia="da-DK"/>
        </w:rPr>
        <w:t>Earnings</w:t>
      </w:r>
      <w:proofErr w:type="spellEnd"/>
      <w:r>
        <w:rPr>
          <w:lang w:eastAsia="da-DK"/>
        </w:rPr>
        <w:t xml:space="preserve"> Per </w:t>
      </w:r>
      <w:proofErr w:type="spellStart"/>
      <w:r>
        <w:rPr>
          <w:lang w:eastAsia="da-DK"/>
        </w:rPr>
        <w:t>Share</w:t>
      </w:r>
      <w:proofErr w:type="spellEnd"/>
      <w:r>
        <w:rPr>
          <w:lang w:eastAsia="da-DK"/>
        </w:rPr>
        <w:t>)</w:t>
      </w:r>
      <w:r w:rsidR="00AA32CF">
        <w:rPr>
          <w:lang w:eastAsia="da-DK"/>
        </w:rPr>
        <w:t>:</w:t>
      </w:r>
      <w:bookmarkEnd w:id="19"/>
    </w:p>
    <w:p w:rsidR="00AA32CF" w:rsidRDefault="00AA32CF" w:rsidP="00AA32CF">
      <w:pPr>
        <w:rPr>
          <w:lang w:eastAsia="da-DK"/>
        </w:rPr>
      </w:pPr>
      <w:r>
        <w:rPr>
          <w:lang w:eastAsia="da-DK"/>
        </w:rPr>
        <w:t xml:space="preserve">For at kunne sammenligne forskellige virksomheders resultat, bruges dette nøgletal. Det skyldes at ved direkte sammenligninger, tages ikke højde for antallet af aktier, som resultatet skal deles ud på. </w:t>
      </w:r>
    </w:p>
    <w:p w:rsidR="000F344D" w:rsidRDefault="00AA32CF" w:rsidP="00AA32CF">
      <w:pPr>
        <w:rPr>
          <w:rFonts w:eastAsiaTheme="minorEastAsia"/>
          <w:lang w:eastAsia="da-DK"/>
        </w:rPr>
      </w:pPr>
      <m:oMathPara>
        <m:oMath>
          <m:r>
            <w:rPr>
              <w:rFonts w:ascii="Cambria Math" w:hAnsi="Cambria Math"/>
              <w:lang w:eastAsia="da-DK"/>
            </w:rPr>
            <m:t xml:space="preserve">Resultat pr.aktie </m:t>
          </m:r>
          <m:d>
            <m:dPr>
              <m:ctrlPr>
                <w:rPr>
                  <w:rFonts w:ascii="Cambria Math" w:hAnsi="Cambria Math"/>
                  <w:i/>
                  <w:lang w:eastAsia="da-DK"/>
                </w:rPr>
              </m:ctrlPr>
            </m:dPr>
            <m:e>
              <m:r>
                <w:rPr>
                  <w:rFonts w:ascii="Cambria Math" w:hAnsi="Cambria Math"/>
                  <w:lang w:eastAsia="da-DK"/>
                </w:rPr>
                <m:t>EPS</m:t>
              </m:r>
            </m:e>
          </m:d>
          <m:r>
            <w:rPr>
              <w:rFonts w:ascii="Cambria Math" w:hAnsi="Cambria Math"/>
              <w:lang w:eastAsia="da-DK"/>
            </w:rPr>
            <m:t xml:space="preserve">= </m:t>
          </m:r>
          <m:f>
            <m:fPr>
              <m:ctrlPr>
                <w:rPr>
                  <w:rFonts w:ascii="Cambria Math" w:hAnsi="Cambria Math"/>
                  <w:i/>
                  <w:lang w:eastAsia="da-DK"/>
                </w:rPr>
              </m:ctrlPr>
            </m:fPr>
            <m:num>
              <m:r>
                <w:rPr>
                  <w:rFonts w:ascii="Cambria Math" w:hAnsi="Cambria Math"/>
                  <w:lang w:eastAsia="da-DK"/>
                </w:rPr>
                <m:t>Årets/kvartal resultat</m:t>
              </m:r>
            </m:num>
            <m:den>
              <m:r>
                <w:rPr>
                  <w:rFonts w:ascii="Cambria Math" w:hAnsi="Cambria Math"/>
                  <w:lang w:eastAsia="da-DK"/>
                </w:rPr>
                <m:t>Antal aktier i omløb</m:t>
              </m:r>
            </m:den>
          </m:f>
          <m:r>
            <w:rPr>
              <w:rFonts w:ascii="Cambria Math" w:eastAsiaTheme="minorEastAsia" w:hAnsi="Cambria Math"/>
              <w:lang w:eastAsia="da-DK"/>
            </w:rPr>
            <m:t xml:space="preserve"> </m:t>
          </m:r>
        </m:oMath>
      </m:oMathPara>
    </w:p>
    <w:p w:rsidR="00AA32CF" w:rsidRDefault="00AA32CF" w:rsidP="00AA32CF">
      <w:pPr>
        <w:rPr>
          <w:rFonts w:eastAsiaTheme="minorEastAsia"/>
          <w:lang w:eastAsia="da-DK"/>
        </w:rPr>
      </w:pPr>
      <w:r>
        <w:rPr>
          <w:rFonts w:eastAsiaTheme="minorEastAsia"/>
          <w:lang w:eastAsia="da-DK"/>
        </w:rPr>
        <w:t>Dette nøgletal fortæller ikke noget om</w:t>
      </w:r>
      <w:r w:rsidR="000F344D">
        <w:rPr>
          <w:rFonts w:eastAsiaTheme="minorEastAsia"/>
          <w:lang w:eastAsia="da-DK"/>
        </w:rPr>
        <w:t xml:space="preserve"> hvorvidt aktien er over - eller undervurderet, men det fortæller noget om hvor god virksomheden er til at generere overskud. </w:t>
      </w:r>
    </w:p>
    <w:p w:rsidR="000F344D" w:rsidRDefault="000F344D" w:rsidP="000F344D">
      <w:pPr>
        <w:pStyle w:val="Overskrift3"/>
        <w:rPr>
          <w:lang w:eastAsia="da-DK"/>
        </w:rPr>
      </w:pPr>
      <w:bookmarkStart w:id="20" w:name="_Toc277530028"/>
      <w:r>
        <w:rPr>
          <w:lang w:eastAsia="da-DK"/>
        </w:rPr>
        <w:t xml:space="preserve">Price To </w:t>
      </w:r>
      <w:proofErr w:type="spellStart"/>
      <w:r>
        <w:rPr>
          <w:lang w:eastAsia="da-DK"/>
        </w:rPr>
        <w:t>Earnings</w:t>
      </w:r>
      <w:proofErr w:type="spellEnd"/>
      <w:r>
        <w:rPr>
          <w:lang w:eastAsia="da-DK"/>
        </w:rPr>
        <w:t>:</w:t>
      </w:r>
      <w:bookmarkEnd w:id="20"/>
    </w:p>
    <w:p w:rsidR="000F344D" w:rsidRDefault="000F344D" w:rsidP="000F344D">
      <w:pPr>
        <w:rPr>
          <w:lang w:eastAsia="da-DK"/>
        </w:rPr>
      </w:pPr>
      <w:r>
        <w:rPr>
          <w:lang w:eastAsia="da-DK"/>
        </w:rPr>
        <w:t>Forkortet P/E, fortæller noget om hvad man skal betale for at få del i virksomhedens overskud. Hvis virksomheden ikke har overskud, kan P/E ikke udregnes.</w:t>
      </w:r>
    </w:p>
    <w:p w:rsidR="000F344D" w:rsidRDefault="000F344D" w:rsidP="000F344D">
      <w:pPr>
        <w:rPr>
          <w:rFonts w:eastAsiaTheme="minorEastAsia"/>
          <w:lang w:eastAsia="da-DK"/>
        </w:rPr>
      </w:pPr>
      <m:oMathPara>
        <m:oMath>
          <m:r>
            <w:rPr>
              <w:rFonts w:ascii="Cambria Math" w:hAnsi="Cambria Math"/>
              <w:lang w:eastAsia="da-DK"/>
            </w:rPr>
            <m:t>P</m:t>
          </m:r>
          <m:r>
            <w:rPr>
              <w:rFonts w:ascii="Cambria Math" w:eastAsiaTheme="minorEastAsia" w:hAnsi="Cambria Math"/>
              <w:lang w:eastAsia="da-DK"/>
            </w:rPr>
            <m:t>/E ratio=</m:t>
          </m:r>
          <m:f>
            <m:fPr>
              <m:ctrlPr>
                <w:rPr>
                  <w:rFonts w:ascii="Cambria Math" w:eastAsiaTheme="minorEastAsia" w:hAnsi="Cambria Math"/>
                  <w:i/>
                  <w:lang w:eastAsia="da-DK"/>
                </w:rPr>
              </m:ctrlPr>
            </m:fPr>
            <m:num>
              <m:r>
                <w:rPr>
                  <w:rFonts w:ascii="Cambria Math" w:eastAsiaTheme="minorEastAsia" w:hAnsi="Cambria Math"/>
                  <w:lang w:eastAsia="da-DK"/>
                </w:rPr>
                <m:t>Aktiekurs</m:t>
              </m:r>
            </m:num>
            <m:den>
              <m:r>
                <w:rPr>
                  <w:rFonts w:ascii="Cambria Math" w:eastAsiaTheme="minorEastAsia" w:hAnsi="Cambria Math"/>
                  <w:lang w:eastAsia="da-DK"/>
                </w:rPr>
                <m:t>Resul</m:t>
              </m:r>
              <m:r>
                <w:rPr>
                  <w:rFonts w:ascii="Cambria Math" w:eastAsiaTheme="minorEastAsia" w:hAnsi="Cambria Math"/>
                  <w:lang w:eastAsia="da-DK"/>
                </w:rPr>
                <m:t>tat pr.aktie</m:t>
              </m:r>
            </m:den>
          </m:f>
        </m:oMath>
      </m:oMathPara>
    </w:p>
    <w:p w:rsidR="000F344D" w:rsidRDefault="000F344D" w:rsidP="000F344D">
      <w:pPr>
        <w:rPr>
          <w:rFonts w:eastAsiaTheme="minorEastAsia"/>
          <w:lang w:eastAsia="da-DK"/>
        </w:rPr>
      </w:pPr>
      <w:r>
        <w:rPr>
          <w:rFonts w:eastAsiaTheme="minorEastAsia"/>
          <w:lang w:eastAsia="da-DK"/>
        </w:rPr>
        <w:t>Jo højere P/E værdien er, jo større er investorernes villighed til at betale for at få del i virksomhedens overskud. Således er det muligt at vurdere om aktien er overvurderet og for dyr. Modsat for en lav P/E, findes billige og undervurdere aktier. For at finde ud af om P/E er høj eller lav, må man sammenligne med tidligere P/E værdier for selskabet.</w:t>
      </w:r>
    </w:p>
    <w:p w:rsidR="00AA32CF" w:rsidRDefault="00766EB1" w:rsidP="00766EB1">
      <w:pPr>
        <w:pStyle w:val="Overskrift3"/>
        <w:rPr>
          <w:lang w:eastAsia="da-DK"/>
        </w:rPr>
      </w:pPr>
      <w:bookmarkStart w:id="21" w:name="_Toc277530029"/>
      <w:r>
        <w:rPr>
          <w:lang w:eastAsia="da-DK"/>
        </w:rPr>
        <w:t xml:space="preserve">Indre Værdi pr. Aktie (Book </w:t>
      </w:r>
      <w:proofErr w:type="spellStart"/>
      <w:r>
        <w:rPr>
          <w:lang w:eastAsia="da-DK"/>
        </w:rPr>
        <w:t>Value</w:t>
      </w:r>
      <w:proofErr w:type="spellEnd"/>
      <w:r>
        <w:rPr>
          <w:lang w:eastAsia="da-DK"/>
        </w:rPr>
        <w:t xml:space="preserve"> per </w:t>
      </w:r>
      <w:proofErr w:type="spellStart"/>
      <w:r>
        <w:rPr>
          <w:lang w:eastAsia="da-DK"/>
        </w:rPr>
        <w:t>Share</w:t>
      </w:r>
      <w:proofErr w:type="spellEnd"/>
      <w:r>
        <w:rPr>
          <w:lang w:eastAsia="da-DK"/>
        </w:rPr>
        <w:t>):</w:t>
      </w:r>
      <w:bookmarkEnd w:id="21"/>
    </w:p>
    <w:p w:rsidR="00766EB1" w:rsidRDefault="00766EB1" w:rsidP="00766EB1">
      <w:pPr>
        <w:rPr>
          <w:lang w:eastAsia="da-DK"/>
        </w:rPr>
      </w:pPr>
      <w:r>
        <w:rPr>
          <w:lang w:eastAsia="da-DK"/>
        </w:rPr>
        <w:t xml:space="preserve">Den indre værdi pr. aktie, viser hvad en aktie giver en investor i overskud, hvis virksomheden lukkede her og nu. </w:t>
      </w:r>
    </w:p>
    <w:p w:rsidR="005C58AF" w:rsidRDefault="005C58AF" w:rsidP="00766EB1">
      <w:pPr>
        <w:rPr>
          <w:rFonts w:eastAsiaTheme="minorEastAsia"/>
          <w:lang w:eastAsia="da-DK"/>
        </w:rPr>
      </w:pPr>
      <m:oMathPara>
        <m:oMath>
          <m:r>
            <w:rPr>
              <w:rFonts w:ascii="Cambria Math" w:hAnsi="Cambria Math"/>
              <w:lang w:eastAsia="da-DK"/>
            </w:rPr>
            <m:t>Indre Værdi pr.Aktie=</m:t>
          </m:r>
          <m:f>
            <m:fPr>
              <m:ctrlPr>
                <w:rPr>
                  <w:rFonts w:ascii="Cambria Math" w:hAnsi="Cambria Math"/>
                  <w:i/>
                  <w:lang w:eastAsia="da-DK"/>
                </w:rPr>
              </m:ctrlPr>
            </m:fPr>
            <m:num>
              <m:r>
                <w:rPr>
                  <w:rFonts w:ascii="Cambria Math" w:hAnsi="Cambria Math"/>
                  <w:lang w:eastAsia="da-DK"/>
                </w:rPr>
                <m:t>Egenkapital ultimo</m:t>
              </m:r>
            </m:num>
            <m:den>
              <m:r>
                <w:rPr>
                  <w:rFonts w:ascii="Cambria Math" w:eastAsiaTheme="minorEastAsia" w:hAnsi="Cambria Math"/>
                  <w:lang w:eastAsia="da-DK"/>
                </w:rPr>
                <m:t>Antal aktier i omløb</m:t>
              </m:r>
              <m:ctrlPr>
                <w:rPr>
                  <w:rFonts w:ascii="Cambria Math" w:eastAsiaTheme="minorEastAsia" w:hAnsi="Cambria Math"/>
                  <w:i/>
                  <w:lang w:eastAsia="da-DK"/>
                </w:rPr>
              </m:ctrlPr>
            </m:den>
          </m:f>
        </m:oMath>
      </m:oMathPara>
    </w:p>
    <w:p w:rsidR="005C58AF" w:rsidRDefault="005C58AF" w:rsidP="00766EB1">
      <w:pPr>
        <w:rPr>
          <w:rFonts w:eastAsiaTheme="minorEastAsia"/>
          <w:lang w:eastAsia="da-DK"/>
        </w:rPr>
      </w:pPr>
      <w:r>
        <w:rPr>
          <w:rFonts w:eastAsiaTheme="minorEastAsia"/>
          <w:lang w:eastAsia="da-DK"/>
        </w:rPr>
        <w:t>Egenkapitalen ultimo er virksomhedens egenkapital ved regnskabsårets afslutning. Dette nøgletal kan give en ide om hvorvidt aktien er under – eller overvurderet.  Hvis aktien sælges til en kurs langt over den indre værdi, kan den være undervurderet og modsat kan den være overvurderet.</w:t>
      </w:r>
    </w:p>
    <w:p w:rsidR="005C58AF" w:rsidRDefault="005C58AF" w:rsidP="005C58AF">
      <w:pPr>
        <w:pStyle w:val="Overskrift3"/>
        <w:rPr>
          <w:lang w:eastAsia="da-DK"/>
        </w:rPr>
      </w:pPr>
      <w:bookmarkStart w:id="22" w:name="_Toc277530030"/>
      <w:r>
        <w:rPr>
          <w:lang w:eastAsia="da-DK"/>
        </w:rPr>
        <w:t>Kurs/Indre Værdi:</w:t>
      </w:r>
      <w:bookmarkEnd w:id="22"/>
    </w:p>
    <w:p w:rsidR="005C58AF" w:rsidRDefault="005C58AF" w:rsidP="005C58AF">
      <w:pPr>
        <w:rPr>
          <w:lang w:eastAsia="da-DK"/>
        </w:rPr>
      </w:pPr>
      <w:r>
        <w:rPr>
          <w:lang w:eastAsia="da-DK"/>
        </w:rPr>
        <w:t xml:space="preserve">Forkortet K/I, fortæller noget om hvor meget en investor skal betale for en andel af virksomhedens egenkapital. </w:t>
      </w:r>
    </w:p>
    <w:p w:rsidR="005C58AF" w:rsidRDefault="005C58AF" w:rsidP="005C58AF">
      <w:pPr>
        <w:rPr>
          <w:rFonts w:eastAsiaTheme="minorEastAsia"/>
          <w:lang w:eastAsia="da-DK"/>
        </w:rPr>
      </w:pPr>
      <m:oMathPara>
        <m:oMath>
          <m:r>
            <w:rPr>
              <w:rFonts w:ascii="Cambria Math" w:hAnsi="Cambria Math"/>
              <w:lang w:eastAsia="da-DK"/>
            </w:rPr>
            <m:t>K/I=</m:t>
          </m:r>
          <m:f>
            <m:fPr>
              <m:ctrlPr>
                <w:rPr>
                  <w:rFonts w:ascii="Cambria Math" w:hAnsi="Cambria Math"/>
                  <w:i/>
                  <w:lang w:eastAsia="da-DK"/>
                </w:rPr>
              </m:ctrlPr>
            </m:fPr>
            <m:num>
              <m:r>
                <w:rPr>
                  <w:rFonts w:ascii="Cambria Math" w:hAnsi="Cambria Math"/>
                  <w:lang w:eastAsia="da-DK"/>
                </w:rPr>
                <m:t>Aktiekurs</m:t>
              </m:r>
            </m:num>
            <m:den>
              <m:r>
                <w:rPr>
                  <w:rFonts w:ascii="Cambria Math" w:hAnsi="Cambria Math"/>
                  <w:lang w:eastAsia="da-DK"/>
                </w:rPr>
                <m:t xml:space="preserve">Indre værdi pr.aktie </m:t>
              </m:r>
            </m:den>
          </m:f>
        </m:oMath>
      </m:oMathPara>
    </w:p>
    <w:p w:rsidR="005C58AF" w:rsidRDefault="005C58AF" w:rsidP="005C58AF">
      <w:pPr>
        <w:rPr>
          <w:rFonts w:eastAsiaTheme="minorEastAsia"/>
          <w:lang w:eastAsia="da-DK"/>
        </w:rPr>
      </w:pPr>
      <w:r>
        <w:rPr>
          <w:rFonts w:eastAsiaTheme="minorEastAsia"/>
          <w:lang w:eastAsia="da-DK"/>
        </w:rPr>
        <w:lastRenderedPageBreak/>
        <w:t>Jo højere K/I værdi, jo mere er markedet villig til at betale i overpris for virksomhedens egentlige værdi. Ved høge K/I værdier kan aktien være overvurderet om modsat ved lave K/I værdier kan den være undervurderet.</w:t>
      </w:r>
    </w:p>
    <w:p w:rsidR="00286A65" w:rsidRDefault="00286A65" w:rsidP="00286A65">
      <w:pPr>
        <w:pStyle w:val="Overskrift3"/>
        <w:rPr>
          <w:rFonts w:eastAsiaTheme="minorEastAsia"/>
          <w:lang w:eastAsia="da-DK"/>
        </w:rPr>
      </w:pPr>
      <w:bookmarkStart w:id="23" w:name="_Toc277530031"/>
      <w:r>
        <w:rPr>
          <w:rFonts w:eastAsiaTheme="minorEastAsia"/>
          <w:lang w:eastAsia="da-DK"/>
        </w:rPr>
        <w:t>Price to Sales:</w:t>
      </w:r>
      <w:bookmarkEnd w:id="23"/>
    </w:p>
    <w:p w:rsidR="00286A65" w:rsidRDefault="00286A65" w:rsidP="00286A65">
      <w:pPr>
        <w:rPr>
          <w:lang w:eastAsia="da-DK"/>
        </w:rPr>
      </w:pPr>
      <w:r>
        <w:rPr>
          <w:lang w:eastAsia="da-DK"/>
        </w:rPr>
        <w:t>Forkortes P/S, og viser hvordan aktiemarkedet vurderer virksomhedens evne til at sælge sit produkt og tjene penge.</w:t>
      </w:r>
    </w:p>
    <w:p w:rsidR="00286A65" w:rsidRPr="00286A65" w:rsidRDefault="00286A65" w:rsidP="00286A65">
      <w:pPr>
        <w:rPr>
          <w:lang w:eastAsia="da-DK"/>
        </w:rPr>
      </w:pPr>
      <m:oMathPara>
        <m:oMath>
          <m:r>
            <w:rPr>
              <w:rFonts w:ascii="Cambria Math" w:hAnsi="Cambria Math"/>
              <w:lang w:eastAsia="da-DK"/>
            </w:rPr>
            <m:t>P/S ratio=</m:t>
          </m:r>
          <m:f>
            <m:fPr>
              <m:ctrlPr>
                <w:rPr>
                  <w:rFonts w:ascii="Cambria Math" w:hAnsi="Cambria Math"/>
                  <w:i/>
                  <w:lang w:eastAsia="da-DK"/>
                </w:rPr>
              </m:ctrlPr>
            </m:fPr>
            <m:num>
              <m:r>
                <w:rPr>
                  <w:rFonts w:ascii="Cambria Math" w:hAnsi="Cambria Math"/>
                  <w:lang w:eastAsia="da-DK"/>
                </w:rPr>
                <m:t>Aktiekurs</m:t>
              </m:r>
            </m:num>
            <m:den>
              <m:r>
                <w:rPr>
                  <w:rFonts w:ascii="Cambria Math" w:hAnsi="Cambria Math"/>
                  <w:lang w:eastAsia="da-DK"/>
                </w:rPr>
                <m:t>Omsætning pr.aktie</m:t>
              </m:r>
            </m:den>
          </m:f>
        </m:oMath>
      </m:oMathPara>
    </w:p>
    <w:p w:rsidR="005C58AF" w:rsidRDefault="00286A65" w:rsidP="005C58AF">
      <w:pPr>
        <w:rPr>
          <w:lang w:eastAsia="da-DK"/>
        </w:rPr>
      </w:pPr>
      <w:r>
        <w:rPr>
          <w:lang w:eastAsia="da-DK"/>
        </w:rPr>
        <w:t xml:space="preserve">En høj P/S ratio viser at aktiekursen er høj i forhold til det totale salg, og er dermed med til at vise om aktien er overvurderet. Modsat viser en lav P/S ratio at aktien er undervurderet i forhold til virksomhedens egentlige præstationer. </w:t>
      </w:r>
    </w:p>
    <w:p w:rsidR="00286A65" w:rsidRPr="005C58AF" w:rsidRDefault="00286A65" w:rsidP="00286A65">
      <w:pPr>
        <w:rPr>
          <w:lang w:eastAsia="da-DK"/>
        </w:rPr>
      </w:pPr>
      <w:r>
        <w:rPr>
          <w:lang w:eastAsia="da-DK"/>
        </w:rPr>
        <w:t>P/S ratio skal sammenlignes med værdier fra tidligere år for samme firma, da det ikke er nogen målestok for om værdien er høj eller lav.</w:t>
      </w:r>
    </w:p>
    <w:p w:rsidR="009E2B86" w:rsidRDefault="00286A65" w:rsidP="00286A65">
      <w:pPr>
        <w:pStyle w:val="Overskrift3"/>
        <w:rPr>
          <w:lang w:eastAsia="da-DK"/>
        </w:rPr>
      </w:pPr>
      <w:bookmarkStart w:id="24" w:name="_Toc277530032"/>
      <w:r>
        <w:rPr>
          <w:lang w:eastAsia="da-DK"/>
        </w:rPr>
        <w:t>Egenkapitalforrentningen (</w:t>
      </w:r>
      <w:proofErr w:type="spellStart"/>
      <w:r>
        <w:rPr>
          <w:lang w:eastAsia="da-DK"/>
        </w:rPr>
        <w:t>Return</w:t>
      </w:r>
      <w:proofErr w:type="spellEnd"/>
      <w:r>
        <w:rPr>
          <w:lang w:eastAsia="da-DK"/>
        </w:rPr>
        <w:t xml:space="preserve"> </w:t>
      </w:r>
      <w:proofErr w:type="spellStart"/>
      <w:r>
        <w:rPr>
          <w:lang w:eastAsia="da-DK"/>
        </w:rPr>
        <w:t>On</w:t>
      </w:r>
      <w:proofErr w:type="spellEnd"/>
      <w:r>
        <w:rPr>
          <w:lang w:eastAsia="da-DK"/>
        </w:rPr>
        <w:t xml:space="preserve"> </w:t>
      </w:r>
      <w:proofErr w:type="spellStart"/>
      <w:r>
        <w:rPr>
          <w:lang w:eastAsia="da-DK"/>
        </w:rPr>
        <w:t>Equity</w:t>
      </w:r>
      <w:proofErr w:type="spellEnd"/>
      <w:r>
        <w:rPr>
          <w:lang w:eastAsia="da-DK"/>
        </w:rPr>
        <w:t>):</w:t>
      </w:r>
      <w:bookmarkEnd w:id="24"/>
    </w:p>
    <w:p w:rsidR="00286A65" w:rsidRDefault="00286A65" w:rsidP="00286A65">
      <w:pPr>
        <w:rPr>
          <w:lang w:eastAsia="da-DK"/>
        </w:rPr>
      </w:pPr>
      <w:r>
        <w:rPr>
          <w:lang w:eastAsia="da-DK"/>
        </w:rPr>
        <w:t xml:space="preserve"> Forkortes ROE, og viser hvor meget </w:t>
      </w:r>
      <w:r w:rsidR="00DC1697">
        <w:rPr>
          <w:lang w:eastAsia="da-DK"/>
        </w:rPr>
        <w:t>overskud en virksomhed skaber i forhold til egenkapitalen. Sagt på en anden måde måles nøgletallet måler investorens afkast for den investerede kapital.</w:t>
      </w:r>
    </w:p>
    <w:p w:rsidR="00DC1697" w:rsidRDefault="00DC1697" w:rsidP="00286A65">
      <w:pPr>
        <w:rPr>
          <w:rFonts w:eastAsiaTheme="minorEastAsia"/>
          <w:lang w:eastAsia="da-DK"/>
        </w:rPr>
      </w:pPr>
      <m:oMathPara>
        <m:oMath>
          <m:r>
            <w:rPr>
              <w:rFonts w:ascii="Cambria Math" w:hAnsi="Cambria Math"/>
              <w:lang w:eastAsia="da-DK"/>
            </w:rPr>
            <m:t>ROE=</m:t>
          </m:r>
          <m:f>
            <m:fPr>
              <m:ctrlPr>
                <w:rPr>
                  <w:rFonts w:ascii="Cambria Math" w:hAnsi="Cambria Math"/>
                  <w:i/>
                  <w:lang w:eastAsia="da-DK"/>
                </w:rPr>
              </m:ctrlPr>
            </m:fPr>
            <m:num>
              <m:r>
                <w:rPr>
                  <w:rFonts w:ascii="Cambria Math" w:hAnsi="Cambria Math"/>
                  <w:lang w:eastAsia="da-DK"/>
                </w:rPr>
                <m:t>Resultat</m:t>
              </m:r>
            </m:num>
            <m:den>
              <m:r>
                <w:rPr>
                  <w:rFonts w:ascii="Cambria Math" w:hAnsi="Cambria Math"/>
                  <w:lang w:eastAsia="da-DK"/>
                </w:rPr>
                <m:t>Gns.af egenkapital primo og ultimo</m:t>
              </m:r>
            </m:den>
          </m:f>
        </m:oMath>
      </m:oMathPara>
    </w:p>
    <w:p w:rsidR="00DC1697" w:rsidRDefault="00DC1697" w:rsidP="00286A65">
      <w:pPr>
        <w:rPr>
          <w:rFonts w:eastAsiaTheme="minorEastAsia"/>
          <w:lang w:eastAsia="da-DK"/>
        </w:rPr>
      </w:pPr>
      <w:r>
        <w:rPr>
          <w:rFonts w:eastAsiaTheme="minorEastAsia"/>
          <w:lang w:eastAsia="da-DK"/>
        </w:rPr>
        <w:t xml:space="preserve">For </w:t>
      </w:r>
      <w:proofErr w:type="spellStart"/>
      <w:r>
        <w:rPr>
          <w:rFonts w:eastAsiaTheme="minorEastAsia"/>
          <w:i/>
          <w:lang w:eastAsia="da-DK"/>
        </w:rPr>
        <w:t>Gns</w:t>
      </w:r>
      <w:proofErr w:type="spellEnd"/>
      <w:r>
        <w:rPr>
          <w:rFonts w:eastAsiaTheme="minorEastAsia"/>
          <w:i/>
          <w:lang w:eastAsia="da-DK"/>
        </w:rPr>
        <w:t>. af egenkapital primo og ultimo</w:t>
      </w:r>
      <w:r>
        <w:rPr>
          <w:rFonts w:eastAsiaTheme="minorEastAsia"/>
          <w:lang w:eastAsia="da-DK"/>
        </w:rPr>
        <w:t xml:space="preserve"> regnes gennemsnittet ud af egenkapitalen ved regnskabsårets start og slutning. </w:t>
      </w:r>
    </w:p>
    <w:p w:rsidR="00DC1697" w:rsidRDefault="00DC1697" w:rsidP="00286A65">
      <w:pPr>
        <w:rPr>
          <w:rFonts w:eastAsiaTheme="minorEastAsia"/>
          <w:lang w:eastAsia="da-DK"/>
        </w:rPr>
      </w:pPr>
      <w:r>
        <w:rPr>
          <w:rFonts w:eastAsiaTheme="minorEastAsia"/>
          <w:lang w:eastAsia="da-DK"/>
        </w:rPr>
        <w:t xml:space="preserve">Hvis en virksomhed skal være en god investering skal ROE være stigende over årene. Så der er det nødvendigt at sammenligne med værdier år tilbage. For at finde ud af om ROE er for høj, er det nødvendigt at sammenligne med andre virksomheder. </w:t>
      </w:r>
    </w:p>
    <w:p w:rsidR="00AB7D78" w:rsidRPr="00AB7D78" w:rsidRDefault="00AB7D78" w:rsidP="00AB7D78">
      <w:pPr>
        <w:rPr>
          <w:lang w:eastAsia="da-DK"/>
        </w:rPr>
      </w:pPr>
    </w:p>
    <w:p w:rsidR="00DC1697" w:rsidRPr="00DC1697" w:rsidRDefault="00DC1697" w:rsidP="00286A65">
      <w:pPr>
        <w:rPr>
          <w:rFonts w:eastAsiaTheme="minorEastAsia"/>
          <w:lang w:eastAsia="da-DK"/>
        </w:rPr>
      </w:pPr>
      <w:r>
        <w:rPr>
          <w:rFonts w:eastAsiaTheme="minorEastAsia"/>
          <w:lang w:eastAsia="da-DK"/>
        </w:rPr>
        <w:t xml:space="preserve"> </w:t>
      </w:r>
    </w:p>
    <w:sectPr w:rsidR="00DC1697" w:rsidRPr="00DC1697" w:rsidSect="008F03EA">
      <w:footerReference w:type="default" r:id="rId16"/>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BE" w:rsidRDefault="001339BE" w:rsidP="008F03EA">
      <w:pPr>
        <w:spacing w:after="0" w:line="240" w:lineRule="auto"/>
      </w:pPr>
      <w:r>
        <w:separator/>
      </w:r>
    </w:p>
  </w:endnote>
  <w:endnote w:type="continuationSeparator" w:id="0">
    <w:p w:rsidR="001339BE" w:rsidRDefault="001339BE" w:rsidP="008F0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80"/>
      <w:gridCol w:w="8388"/>
    </w:tblGrid>
    <w:tr w:rsidR="00C30A02">
      <w:tc>
        <w:tcPr>
          <w:tcW w:w="750" w:type="pct"/>
        </w:tcPr>
        <w:p w:rsidR="00C30A02" w:rsidRDefault="00C30A02">
          <w:pPr>
            <w:pStyle w:val="Sidefod"/>
            <w:jc w:val="right"/>
            <w:rPr>
              <w:color w:val="4F81BD" w:themeColor="accent1"/>
            </w:rPr>
          </w:pPr>
          <w:fldSimple w:instr=" PAGE   \* MERGEFORMAT ">
            <w:r w:rsidR="00FF4151" w:rsidRPr="00FF4151">
              <w:rPr>
                <w:noProof/>
                <w:color w:val="4F81BD" w:themeColor="accent1"/>
              </w:rPr>
              <w:t>14</w:t>
            </w:r>
          </w:fldSimple>
        </w:p>
      </w:tc>
      <w:tc>
        <w:tcPr>
          <w:tcW w:w="4250" w:type="pct"/>
        </w:tcPr>
        <w:p w:rsidR="00C30A02" w:rsidRDefault="00C30A02">
          <w:pPr>
            <w:pStyle w:val="Sidefod"/>
            <w:rPr>
              <w:color w:val="4F81BD" w:themeColor="accent1"/>
            </w:rPr>
          </w:pPr>
        </w:p>
      </w:tc>
    </w:tr>
  </w:tbl>
  <w:p w:rsidR="00C30A02" w:rsidRDefault="00C30A0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BE" w:rsidRDefault="001339BE" w:rsidP="008F03EA">
      <w:pPr>
        <w:spacing w:after="0" w:line="240" w:lineRule="auto"/>
      </w:pPr>
      <w:r>
        <w:separator/>
      </w:r>
    </w:p>
  </w:footnote>
  <w:footnote w:type="continuationSeparator" w:id="0">
    <w:p w:rsidR="001339BE" w:rsidRDefault="001339BE" w:rsidP="008F03EA">
      <w:pPr>
        <w:spacing w:after="0" w:line="240" w:lineRule="auto"/>
      </w:pPr>
      <w:r>
        <w:continuationSeparator/>
      </w:r>
    </w:p>
  </w:footnote>
  <w:footnote w:id="1">
    <w:p w:rsidR="00A72198" w:rsidRDefault="00A72198" w:rsidP="00A72198">
      <w:pPr>
        <w:pStyle w:val="Fodnotetekst"/>
      </w:pPr>
      <w:r>
        <w:rPr>
          <w:rStyle w:val="Fodnotehenvisning"/>
        </w:rPr>
        <w:footnoteRef/>
      </w:r>
      <w:r>
        <w:t xml:space="preserve"> For ”Oversolgt” og ”Overkøbt”: En centreret oscillator, har ikke et fast niveau for hvornår aktien er oversolgt/overkøbt, så der skal findes ekstremer, hvorfor en båndlagt oscillator er bedst til formålet.</w:t>
      </w:r>
    </w:p>
  </w:footnote>
  <w:footnote w:id="2">
    <w:p w:rsidR="00A72198" w:rsidRDefault="00A72198" w:rsidP="00A72198">
      <w:pPr>
        <w:pStyle w:val="Fodnotetekst"/>
      </w:pPr>
      <w:r>
        <w:rPr>
          <w:rStyle w:val="Fodnotehenvisning"/>
        </w:rPr>
        <w:footnoteRef/>
      </w:r>
      <w:r>
        <w:t xml:space="preserve"> For ”Brud over midten” og ”Brud under midten”: En båndlagt oscillator kan også vise en akties trend, men centrerede er </w:t>
      </w:r>
      <w:proofErr w:type="gramStart"/>
      <w:r>
        <w:t>fungere</w:t>
      </w:r>
      <w:proofErr w:type="gramEnd"/>
      <w:r>
        <w:t xml:space="preserve"> bedst.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EF7"/>
    <w:multiLevelType w:val="hybridMultilevel"/>
    <w:tmpl w:val="4FF285BE"/>
    <w:lvl w:ilvl="0" w:tplc="C764E0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6133382"/>
    <w:multiLevelType w:val="hybridMultilevel"/>
    <w:tmpl w:val="603C73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14A7DEB"/>
    <w:multiLevelType w:val="hybridMultilevel"/>
    <w:tmpl w:val="EBEA2D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959288F"/>
    <w:multiLevelType w:val="hybridMultilevel"/>
    <w:tmpl w:val="E16A5938"/>
    <w:lvl w:ilvl="0" w:tplc="515471C0">
      <w:numFmt w:val="bullet"/>
      <w:lvlText w:val="-"/>
      <w:lvlJc w:val="left"/>
      <w:pPr>
        <w:ind w:left="1665" w:hanging="360"/>
      </w:pPr>
      <w:rPr>
        <w:rFonts w:ascii="Calibri" w:eastAsiaTheme="minorHAnsi" w:hAnsi="Calibri" w:cstheme="minorBidi" w:hint="default"/>
      </w:rPr>
    </w:lvl>
    <w:lvl w:ilvl="1" w:tplc="458EE700">
      <w:start w:val="1"/>
      <w:numFmt w:val="decimal"/>
      <w:lvlText w:val="%2."/>
      <w:lvlJc w:val="left"/>
      <w:pPr>
        <w:ind w:left="360" w:hanging="360"/>
      </w:pPr>
      <w:rPr>
        <w:rFonts w:hint="default"/>
        <w:b w:val="0"/>
      </w:rPr>
    </w:lvl>
    <w:lvl w:ilvl="2" w:tplc="04060005">
      <w:start w:val="1"/>
      <w:numFmt w:val="bullet"/>
      <w:lvlText w:val=""/>
      <w:lvlJc w:val="left"/>
      <w:pPr>
        <w:ind w:left="3105" w:hanging="360"/>
      </w:pPr>
      <w:rPr>
        <w:rFonts w:ascii="Wingdings" w:hAnsi="Wingdings" w:hint="default"/>
      </w:rPr>
    </w:lvl>
    <w:lvl w:ilvl="3" w:tplc="0406000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nsid w:val="1AA55171"/>
    <w:multiLevelType w:val="hybridMultilevel"/>
    <w:tmpl w:val="5A2A6E90"/>
    <w:lvl w:ilvl="0" w:tplc="0B422AEC">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DE343E7"/>
    <w:multiLevelType w:val="hybridMultilevel"/>
    <w:tmpl w:val="87CACD4A"/>
    <w:lvl w:ilvl="0" w:tplc="4D7E6C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9013740"/>
    <w:multiLevelType w:val="hybridMultilevel"/>
    <w:tmpl w:val="C1A6A6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2BB7EAB"/>
    <w:multiLevelType w:val="hybridMultilevel"/>
    <w:tmpl w:val="8864F6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FF01B23"/>
    <w:multiLevelType w:val="hybridMultilevel"/>
    <w:tmpl w:val="E8A0E016"/>
    <w:lvl w:ilvl="0" w:tplc="109EF8C2">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nsid w:val="41AA4620"/>
    <w:multiLevelType w:val="hybridMultilevel"/>
    <w:tmpl w:val="F9282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4F41173"/>
    <w:multiLevelType w:val="hybridMultilevel"/>
    <w:tmpl w:val="3ACCF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7734C97"/>
    <w:multiLevelType w:val="hybridMultilevel"/>
    <w:tmpl w:val="00DAE29E"/>
    <w:lvl w:ilvl="0" w:tplc="0B422AEC">
      <w:start w:val="1"/>
      <w:numFmt w:val="decimal"/>
      <w:lvlText w:val="%1."/>
      <w:lvlJc w:val="left"/>
      <w:pPr>
        <w:ind w:left="750" w:hanging="360"/>
      </w:pPr>
      <w:rPr>
        <w:color w:val="auto"/>
      </w:rPr>
    </w:lvl>
    <w:lvl w:ilvl="1" w:tplc="04060019" w:tentative="1">
      <w:start w:val="1"/>
      <w:numFmt w:val="lowerLetter"/>
      <w:lvlText w:val="%2."/>
      <w:lvlJc w:val="left"/>
      <w:pPr>
        <w:ind w:left="1470" w:hanging="360"/>
      </w:pPr>
    </w:lvl>
    <w:lvl w:ilvl="2" w:tplc="0406001B" w:tentative="1">
      <w:start w:val="1"/>
      <w:numFmt w:val="lowerRoman"/>
      <w:lvlText w:val="%3."/>
      <w:lvlJc w:val="right"/>
      <w:pPr>
        <w:ind w:left="2190" w:hanging="180"/>
      </w:pPr>
    </w:lvl>
    <w:lvl w:ilvl="3" w:tplc="0406000F" w:tentative="1">
      <w:start w:val="1"/>
      <w:numFmt w:val="decimal"/>
      <w:lvlText w:val="%4."/>
      <w:lvlJc w:val="left"/>
      <w:pPr>
        <w:ind w:left="2910" w:hanging="360"/>
      </w:pPr>
    </w:lvl>
    <w:lvl w:ilvl="4" w:tplc="04060019" w:tentative="1">
      <w:start w:val="1"/>
      <w:numFmt w:val="lowerLetter"/>
      <w:lvlText w:val="%5."/>
      <w:lvlJc w:val="left"/>
      <w:pPr>
        <w:ind w:left="3630" w:hanging="360"/>
      </w:pPr>
    </w:lvl>
    <w:lvl w:ilvl="5" w:tplc="0406001B" w:tentative="1">
      <w:start w:val="1"/>
      <w:numFmt w:val="lowerRoman"/>
      <w:lvlText w:val="%6."/>
      <w:lvlJc w:val="right"/>
      <w:pPr>
        <w:ind w:left="4350" w:hanging="180"/>
      </w:pPr>
    </w:lvl>
    <w:lvl w:ilvl="6" w:tplc="0406000F" w:tentative="1">
      <w:start w:val="1"/>
      <w:numFmt w:val="decimal"/>
      <w:lvlText w:val="%7."/>
      <w:lvlJc w:val="left"/>
      <w:pPr>
        <w:ind w:left="5070" w:hanging="360"/>
      </w:pPr>
    </w:lvl>
    <w:lvl w:ilvl="7" w:tplc="04060019" w:tentative="1">
      <w:start w:val="1"/>
      <w:numFmt w:val="lowerLetter"/>
      <w:lvlText w:val="%8."/>
      <w:lvlJc w:val="left"/>
      <w:pPr>
        <w:ind w:left="5790" w:hanging="360"/>
      </w:pPr>
    </w:lvl>
    <w:lvl w:ilvl="8" w:tplc="0406001B" w:tentative="1">
      <w:start w:val="1"/>
      <w:numFmt w:val="lowerRoman"/>
      <w:lvlText w:val="%9."/>
      <w:lvlJc w:val="right"/>
      <w:pPr>
        <w:ind w:left="6510" w:hanging="180"/>
      </w:pPr>
    </w:lvl>
  </w:abstractNum>
  <w:abstractNum w:abstractNumId="12">
    <w:nsid w:val="785B7B42"/>
    <w:multiLevelType w:val="hybridMultilevel"/>
    <w:tmpl w:val="52145AF0"/>
    <w:lvl w:ilvl="0" w:tplc="0B422AEC">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7"/>
  </w:num>
  <w:num w:numId="6">
    <w:abstractNumId w:val="2"/>
  </w:num>
  <w:num w:numId="7">
    <w:abstractNumId w:val="3"/>
  </w:num>
  <w:num w:numId="8">
    <w:abstractNumId w:val="12"/>
  </w:num>
  <w:num w:numId="9">
    <w:abstractNumId w:val="4"/>
  </w:num>
  <w:num w:numId="10">
    <w:abstractNumId w:val="0"/>
  </w:num>
  <w:num w:numId="11">
    <w:abstractNumId w:val="8"/>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03EA"/>
    <w:rsid w:val="00023096"/>
    <w:rsid w:val="000835E6"/>
    <w:rsid w:val="000A3ED9"/>
    <w:rsid w:val="000E1BF2"/>
    <w:rsid w:val="000F344D"/>
    <w:rsid w:val="001063AA"/>
    <w:rsid w:val="00127982"/>
    <w:rsid w:val="001339BE"/>
    <w:rsid w:val="001908EC"/>
    <w:rsid w:val="001A06CA"/>
    <w:rsid w:val="001A4675"/>
    <w:rsid w:val="001D044F"/>
    <w:rsid w:val="00200641"/>
    <w:rsid w:val="0028211C"/>
    <w:rsid w:val="00286A65"/>
    <w:rsid w:val="002A319F"/>
    <w:rsid w:val="002A610A"/>
    <w:rsid w:val="002B7994"/>
    <w:rsid w:val="002C4CD2"/>
    <w:rsid w:val="002C7A9D"/>
    <w:rsid w:val="002F1175"/>
    <w:rsid w:val="00301CBA"/>
    <w:rsid w:val="00307FC8"/>
    <w:rsid w:val="00353275"/>
    <w:rsid w:val="00381663"/>
    <w:rsid w:val="003A5B60"/>
    <w:rsid w:val="003B56E9"/>
    <w:rsid w:val="003C7AF5"/>
    <w:rsid w:val="003F25C4"/>
    <w:rsid w:val="003F3A95"/>
    <w:rsid w:val="00441CBF"/>
    <w:rsid w:val="004566CC"/>
    <w:rsid w:val="00514284"/>
    <w:rsid w:val="0054418B"/>
    <w:rsid w:val="00561095"/>
    <w:rsid w:val="005C58AF"/>
    <w:rsid w:val="005E6D25"/>
    <w:rsid w:val="00630A3F"/>
    <w:rsid w:val="00635919"/>
    <w:rsid w:val="0068290D"/>
    <w:rsid w:val="00693311"/>
    <w:rsid w:val="007039DF"/>
    <w:rsid w:val="00742824"/>
    <w:rsid w:val="00766EB1"/>
    <w:rsid w:val="0079437B"/>
    <w:rsid w:val="00795E42"/>
    <w:rsid w:val="007A0296"/>
    <w:rsid w:val="00803060"/>
    <w:rsid w:val="008368C2"/>
    <w:rsid w:val="00863043"/>
    <w:rsid w:val="008979A4"/>
    <w:rsid w:val="008A5DE9"/>
    <w:rsid w:val="008B754F"/>
    <w:rsid w:val="008C21FA"/>
    <w:rsid w:val="008C5750"/>
    <w:rsid w:val="008E1DC4"/>
    <w:rsid w:val="008F03EA"/>
    <w:rsid w:val="00912DDF"/>
    <w:rsid w:val="00941A09"/>
    <w:rsid w:val="00943A6C"/>
    <w:rsid w:val="00954FDA"/>
    <w:rsid w:val="00985EFD"/>
    <w:rsid w:val="009C091A"/>
    <w:rsid w:val="009D01A2"/>
    <w:rsid w:val="009D148D"/>
    <w:rsid w:val="009E2B86"/>
    <w:rsid w:val="009E4D35"/>
    <w:rsid w:val="00A32F64"/>
    <w:rsid w:val="00A373A4"/>
    <w:rsid w:val="00A72198"/>
    <w:rsid w:val="00AA32CF"/>
    <w:rsid w:val="00AB7D78"/>
    <w:rsid w:val="00AC1875"/>
    <w:rsid w:val="00AC7C96"/>
    <w:rsid w:val="00AD52D7"/>
    <w:rsid w:val="00B06354"/>
    <w:rsid w:val="00BD4B66"/>
    <w:rsid w:val="00BE1B3A"/>
    <w:rsid w:val="00C10469"/>
    <w:rsid w:val="00C30A02"/>
    <w:rsid w:val="00C7378D"/>
    <w:rsid w:val="00CD0649"/>
    <w:rsid w:val="00D15988"/>
    <w:rsid w:val="00D34F16"/>
    <w:rsid w:val="00D60B00"/>
    <w:rsid w:val="00D66E8A"/>
    <w:rsid w:val="00D74F15"/>
    <w:rsid w:val="00D9460D"/>
    <w:rsid w:val="00D96905"/>
    <w:rsid w:val="00D976BE"/>
    <w:rsid w:val="00DC1697"/>
    <w:rsid w:val="00DD3D81"/>
    <w:rsid w:val="00DD6E1C"/>
    <w:rsid w:val="00E10699"/>
    <w:rsid w:val="00E2009A"/>
    <w:rsid w:val="00E2609D"/>
    <w:rsid w:val="00E340C5"/>
    <w:rsid w:val="00EB053E"/>
    <w:rsid w:val="00ED0AFB"/>
    <w:rsid w:val="00F01057"/>
    <w:rsid w:val="00F5605A"/>
    <w:rsid w:val="00FD166D"/>
    <w:rsid w:val="00FF415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_x0000_s1028"/>
        <o:r id="V:Rule9" type="connector" idref="#_x0000_s1035"/>
        <o:r id="V:Rule10" type="connector" idref="#_x0000_s1029"/>
        <o:r id="V:Rule11" type="connector" idref="#_x0000_s1031"/>
        <o:r id="V:Rule12" type="connector" idref="#_x0000_s1026"/>
        <o:r id="V:Rule13" type="connector" idref="#_x0000_s1034"/>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95"/>
  </w:style>
  <w:style w:type="paragraph" w:styleId="Overskrift1">
    <w:name w:val="heading 1"/>
    <w:basedOn w:val="Normal"/>
    <w:next w:val="Normal"/>
    <w:link w:val="Overskrift1Tegn"/>
    <w:uiPriority w:val="9"/>
    <w:qFormat/>
    <w:rsid w:val="008F03EA"/>
    <w:pPr>
      <w:keepNext/>
      <w:keepLines/>
      <w:spacing w:before="480" w:after="0" w:line="480" w:lineRule="auto"/>
      <w:outlineLvl w:val="0"/>
    </w:pPr>
    <w:rPr>
      <w:rFonts w:asciiTheme="majorHAnsi" w:eastAsiaTheme="majorEastAsia" w:hAnsiTheme="majorHAnsi" w:cstheme="majorBidi"/>
      <w:b/>
      <w:bCs/>
      <w:color w:val="548DD4" w:themeColor="text2" w:themeTint="99"/>
      <w:sz w:val="28"/>
      <w:szCs w:val="28"/>
    </w:rPr>
  </w:style>
  <w:style w:type="paragraph" w:styleId="Overskrift2">
    <w:name w:val="heading 2"/>
    <w:basedOn w:val="Normal"/>
    <w:next w:val="Normal"/>
    <w:link w:val="Overskrift2Tegn"/>
    <w:uiPriority w:val="9"/>
    <w:unhideWhenUsed/>
    <w:qFormat/>
    <w:rsid w:val="008F0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F03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106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03EA"/>
    <w:rPr>
      <w:rFonts w:asciiTheme="majorHAnsi" w:eastAsiaTheme="majorEastAsia" w:hAnsiTheme="majorHAnsi" w:cstheme="majorBidi"/>
      <w:b/>
      <w:bCs/>
      <w:color w:val="548DD4" w:themeColor="text2" w:themeTint="99"/>
      <w:sz w:val="28"/>
      <w:szCs w:val="28"/>
    </w:rPr>
  </w:style>
  <w:style w:type="paragraph" w:styleId="Overskrift">
    <w:name w:val="TOC Heading"/>
    <w:basedOn w:val="Overskrift1"/>
    <w:next w:val="Normal"/>
    <w:uiPriority w:val="39"/>
    <w:semiHidden/>
    <w:unhideWhenUsed/>
    <w:qFormat/>
    <w:rsid w:val="003F3A95"/>
    <w:pPr>
      <w:outlineLvl w:val="9"/>
    </w:pPr>
  </w:style>
  <w:style w:type="paragraph" w:styleId="Ingenafstand">
    <w:name w:val="No Spacing"/>
    <w:link w:val="IngenafstandTegn"/>
    <w:uiPriority w:val="1"/>
    <w:qFormat/>
    <w:rsid w:val="008F03EA"/>
    <w:pPr>
      <w:spacing w:after="0" w:line="240" w:lineRule="auto"/>
    </w:pPr>
    <w:rPr>
      <w:rFonts w:eastAsiaTheme="minorEastAsia"/>
    </w:rPr>
  </w:style>
  <w:style w:type="character" w:customStyle="1" w:styleId="IngenafstandTegn">
    <w:name w:val="Ingen afstand Tegn"/>
    <w:basedOn w:val="Standardskrifttypeiafsnit"/>
    <w:link w:val="Ingenafstand"/>
    <w:uiPriority w:val="1"/>
    <w:rsid w:val="008F03EA"/>
    <w:rPr>
      <w:rFonts w:eastAsiaTheme="minorEastAsia"/>
    </w:rPr>
  </w:style>
  <w:style w:type="paragraph" w:styleId="Markeringsbobletekst">
    <w:name w:val="Balloon Text"/>
    <w:basedOn w:val="Normal"/>
    <w:link w:val="MarkeringsbobletekstTegn"/>
    <w:uiPriority w:val="99"/>
    <w:semiHidden/>
    <w:unhideWhenUsed/>
    <w:rsid w:val="008F03E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03EA"/>
    <w:rPr>
      <w:rFonts w:ascii="Tahoma" w:hAnsi="Tahoma" w:cs="Tahoma"/>
      <w:sz w:val="16"/>
      <w:szCs w:val="16"/>
    </w:rPr>
  </w:style>
  <w:style w:type="paragraph" w:styleId="Sidehoved">
    <w:name w:val="header"/>
    <w:basedOn w:val="Normal"/>
    <w:link w:val="SidehovedTegn"/>
    <w:uiPriority w:val="99"/>
    <w:semiHidden/>
    <w:unhideWhenUsed/>
    <w:rsid w:val="008F03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8F03EA"/>
  </w:style>
  <w:style w:type="paragraph" w:styleId="Sidefod">
    <w:name w:val="footer"/>
    <w:basedOn w:val="Normal"/>
    <w:link w:val="SidefodTegn"/>
    <w:uiPriority w:val="99"/>
    <w:unhideWhenUsed/>
    <w:rsid w:val="008F03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03EA"/>
  </w:style>
  <w:style w:type="paragraph" w:styleId="Indholdsfortegnelse1">
    <w:name w:val="toc 1"/>
    <w:basedOn w:val="Normal"/>
    <w:next w:val="Normal"/>
    <w:autoRedefine/>
    <w:uiPriority w:val="39"/>
    <w:unhideWhenUsed/>
    <w:qFormat/>
    <w:rsid w:val="00AD52D7"/>
    <w:pPr>
      <w:tabs>
        <w:tab w:val="right" w:leader="dot" w:pos="9628"/>
      </w:tabs>
      <w:spacing w:after="100"/>
    </w:pPr>
    <w:rPr>
      <w:b/>
      <w:i/>
      <w:noProof/>
    </w:rPr>
  </w:style>
  <w:style w:type="character" w:styleId="Hyperlink">
    <w:name w:val="Hyperlink"/>
    <w:basedOn w:val="Standardskrifttypeiafsnit"/>
    <w:uiPriority w:val="99"/>
    <w:unhideWhenUsed/>
    <w:rsid w:val="008F03EA"/>
    <w:rPr>
      <w:color w:val="0000FF" w:themeColor="hyperlink"/>
      <w:u w:val="single"/>
    </w:rPr>
  </w:style>
  <w:style w:type="character" w:customStyle="1" w:styleId="Overskrift2Tegn">
    <w:name w:val="Overskrift 2 Tegn"/>
    <w:basedOn w:val="Standardskrifttypeiafsnit"/>
    <w:link w:val="Overskrift2"/>
    <w:uiPriority w:val="9"/>
    <w:rsid w:val="008F03EA"/>
    <w:rPr>
      <w:rFonts w:asciiTheme="majorHAnsi" w:eastAsiaTheme="majorEastAsia" w:hAnsiTheme="majorHAnsi" w:cstheme="majorBidi"/>
      <w:b/>
      <w:bCs/>
      <w:color w:val="4F81BD" w:themeColor="accent1"/>
      <w:sz w:val="26"/>
      <w:szCs w:val="26"/>
    </w:rPr>
  </w:style>
  <w:style w:type="paragraph" w:styleId="Indholdsfortegnelse2">
    <w:name w:val="toc 2"/>
    <w:basedOn w:val="Normal"/>
    <w:next w:val="Normal"/>
    <w:autoRedefine/>
    <w:uiPriority w:val="39"/>
    <w:unhideWhenUsed/>
    <w:qFormat/>
    <w:rsid w:val="008F03EA"/>
    <w:pPr>
      <w:spacing w:after="100"/>
      <w:ind w:left="220"/>
    </w:pPr>
  </w:style>
  <w:style w:type="character" w:customStyle="1" w:styleId="Overskrift3Tegn">
    <w:name w:val="Overskrift 3 Tegn"/>
    <w:basedOn w:val="Standardskrifttypeiafsnit"/>
    <w:link w:val="Overskrift3"/>
    <w:uiPriority w:val="9"/>
    <w:rsid w:val="008F03EA"/>
    <w:rPr>
      <w:rFonts w:asciiTheme="majorHAnsi" w:eastAsiaTheme="majorEastAsia" w:hAnsiTheme="majorHAnsi" w:cstheme="majorBidi"/>
      <w:b/>
      <w:bCs/>
      <w:color w:val="4F81BD" w:themeColor="accent1"/>
    </w:rPr>
  </w:style>
  <w:style w:type="paragraph" w:styleId="Indholdsfortegnelse3">
    <w:name w:val="toc 3"/>
    <w:basedOn w:val="Normal"/>
    <w:next w:val="Normal"/>
    <w:autoRedefine/>
    <w:uiPriority w:val="39"/>
    <w:unhideWhenUsed/>
    <w:qFormat/>
    <w:rsid w:val="002C7A9D"/>
    <w:pPr>
      <w:spacing w:after="100"/>
      <w:ind w:left="440"/>
    </w:pPr>
  </w:style>
  <w:style w:type="character" w:styleId="Pladsholdertekst">
    <w:name w:val="Placeholder Text"/>
    <w:basedOn w:val="Standardskrifttypeiafsnit"/>
    <w:uiPriority w:val="99"/>
    <w:semiHidden/>
    <w:rsid w:val="002F1175"/>
    <w:rPr>
      <w:color w:val="808080"/>
    </w:rPr>
  </w:style>
  <w:style w:type="paragraph" w:styleId="Listeafsnit">
    <w:name w:val="List Paragraph"/>
    <w:basedOn w:val="Normal"/>
    <w:uiPriority w:val="34"/>
    <w:qFormat/>
    <w:rsid w:val="00D66E8A"/>
    <w:pPr>
      <w:ind w:left="720"/>
      <w:contextualSpacing/>
    </w:pPr>
  </w:style>
  <w:style w:type="paragraph" w:styleId="Fodnotetekst">
    <w:name w:val="footnote text"/>
    <w:basedOn w:val="Normal"/>
    <w:link w:val="FodnotetekstTegn"/>
    <w:uiPriority w:val="99"/>
    <w:semiHidden/>
    <w:unhideWhenUsed/>
    <w:rsid w:val="000835E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835E6"/>
    <w:rPr>
      <w:sz w:val="20"/>
      <w:szCs w:val="20"/>
    </w:rPr>
  </w:style>
  <w:style w:type="character" w:styleId="Fodnotehenvisning">
    <w:name w:val="footnote reference"/>
    <w:basedOn w:val="Standardskrifttypeiafsnit"/>
    <w:uiPriority w:val="99"/>
    <w:semiHidden/>
    <w:unhideWhenUsed/>
    <w:rsid w:val="000835E6"/>
    <w:rPr>
      <w:vertAlign w:val="superscript"/>
    </w:rPr>
  </w:style>
  <w:style w:type="paragraph" w:styleId="Billedtekst">
    <w:name w:val="caption"/>
    <w:basedOn w:val="Normal"/>
    <w:next w:val="Normal"/>
    <w:uiPriority w:val="35"/>
    <w:unhideWhenUsed/>
    <w:qFormat/>
    <w:rsid w:val="005E6D25"/>
    <w:pPr>
      <w:spacing w:line="240" w:lineRule="auto"/>
    </w:pPr>
    <w:rPr>
      <w:b/>
      <w:bCs/>
      <w:color w:val="4F81BD" w:themeColor="accent1"/>
      <w:sz w:val="18"/>
      <w:szCs w:val="18"/>
    </w:rPr>
  </w:style>
  <w:style w:type="table" w:styleId="Tabel-Gitter">
    <w:name w:val="Table Grid"/>
    <w:basedOn w:val="Tabel-Normal"/>
    <w:uiPriority w:val="59"/>
    <w:rsid w:val="003F2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4Tegn">
    <w:name w:val="Overskrift 4 Tegn"/>
    <w:basedOn w:val="Standardskrifttypeiafsnit"/>
    <w:link w:val="Overskrift4"/>
    <w:uiPriority w:val="9"/>
    <w:rsid w:val="00E1069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88768485">
      <w:bodyDiv w:val="1"/>
      <w:marLeft w:val="0"/>
      <w:marRight w:val="0"/>
      <w:marTop w:val="0"/>
      <w:marBottom w:val="0"/>
      <w:divBdr>
        <w:top w:val="none" w:sz="0" w:space="0" w:color="auto"/>
        <w:left w:val="none" w:sz="0" w:space="0" w:color="auto"/>
        <w:bottom w:val="none" w:sz="0" w:space="0" w:color="auto"/>
        <w:right w:val="none" w:sz="0" w:space="0" w:color="auto"/>
      </w:divBdr>
      <w:divsChild>
        <w:div w:id="59981586">
          <w:marLeft w:val="0"/>
          <w:marRight w:val="0"/>
          <w:marTop w:val="0"/>
          <w:marBottom w:val="0"/>
          <w:divBdr>
            <w:top w:val="none" w:sz="0" w:space="0" w:color="auto"/>
            <w:left w:val="none" w:sz="0" w:space="0" w:color="auto"/>
            <w:bottom w:val="none" w:sz="0" w:space="0" w:color="auto"/>
            <w:right w:val="none" w:sz="0" w:space="0" w:color="auto"/>
          </w:divBdr>
          <w:divsChild>
            <w:div w:id="1815366368">
              <w:marLeft w:val="0"/>
              <w:marRight w:val="0"/>
              <w:marTop w:val="0"/>
              <w:marBottom w:val="0"/>
              <w:divBdr>
                <w:top w:val="none" w:sz="0" w:space="0" w:color="auto"/>
                <w:left w:val="none" w:sz="0" w:space="0" w:color="auto"/>
                <w:bottom w:val="none" w:sz="0" w:space="0" w:color="auto"/>
                <w:right w:val="none" w:sz="0" w:space="0" w:color="auto"/>
              </w:divBdr>
              <w:divsChild>
                <w:div w:id="1434396988">
                  <w:marLeft w:val="0"/>
                  <w:marRight w:val="0"/>
                  <w:marTop w:val="0"/>
                  <w:marBottom w:val="0"/>
                  <w:divBdr>
                    <w:top w:val="none" w:sz="0" w:space="0" w:color="auto"/>
                    <w:left w:val="none" w:sz="0" w:space="0" w:color="auto"/>
                    <w:bottom w:val="none" w:sz="0" w:space="0" w:color="auto"/>
                    <w:right w:val="none" w:sz="0" w:space="0" w:color="auto"/>
                  </w:divBdr>
                  <w:divsChild>
                    <w:div w:id="1471824940">
                      <w:marLeft w:val="0"/>
                      <w:marRight w:val="0"/>
                      <w:marTop w:val="0"/>
                      <w:marBottom w:val="0"/>
                      <w:divBdr>
                        <w:top w:val="none" w:sz="0" w:space="0" w:color="auto"/>
                        <w:left w:val="none" w:sz="0" w:space="0" w:color="auto"/>
                        <w:bottom w:val="none" w:sz="0" w:space="0" w:color="auto"/>
                        <w:right w:val="none" w:sz="0" w:space="0" w:color="auto"/>
                      </w:divBdr>
                      <w:divsChild>
                        <w:div w:id="506210869">
                          <w:marLeft w:val="0"/>
                          <w:marRight w:val="0"/>
                          <w:marTop w:val="0"/>
                          <w:marBottom w:val="0"/>
                          <w:divBdr>
                            <w:top w:val="none" w:sz="0" w:space="0" w:color="auto"/>
                            <w:left w:val="none" w:sz="0" w:space="0" w:color="auto"/>
                            <w:bottom w:val="none" w:sz="0" w:space="0" w:color="auto"/>
                            <w:right w:val="none" w:sz="0" w:space="0" w:color="auto"/>
                          </w:divBdr>
                          <w:divsChild>
                            <w:div w:id="788429773">
                              <w:marLeft w:val="0"/>
                              <w:marRight w:val="0"/>
                              <w:marTop w:val="0"/>
                              <w:marBottom w:val="0"/>
                              <w:divBdr>
                                <w:top w:val="none" w:sz="0" w:space="0" w:color="auto"/>
                                <w:left w:val="none" w:sz="0" w:space="0" w:color="auto"/>
                                <w:bottom w:val="none" w:sz="0" w:space="0" w:color="auto"/>
                                <w:right w:val="none" w:sz="0" w:space="0" w:color="auto"/>
                              </w:divBdr>
                              <w:divsChild>
                                <w:div w:id="1861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026361">
      <w:bodyDiv w:val="1"/>
      <w:marLeft w:val="0"/>
      <w:marRight w:val="0"/>
      <w:marTop w:val="0"/>
      <w:marBottom w:val="0"/>
      <w:divBdr>
        <w:top w:val="none" w:sz="0" w:space="0" w:color="auto"/>
        <w:left w:val="none" w:sz="0" w:space="0" w:color="auto"/>
        <w:bottom w:val="none" w:sz="0" w:space="0" w:color="auto"/>
        <w:right w:val="none" w:sz="0" w:space="0" w:color="auto"/>
      </w:divBdr>
      <w:divsChild>
        <w:div w:id="531723619">
          <w:marLeft w:val="0"/>
          <w:marRight w:val="0"/>
          <w:marTop w:val="0"/>
          <w:marBottom w:val="0"/>
          <w:divBdr>
            <w:top w:val="none" w:sz="0" w:space="0" w:color="auto"/>
            <w:left w:val="none" w:sz="0" w:space="0" w:color="auto"/>
            <w:bottom w:val="none" w:sz="0" w:space="0" w:color="auto"/>
            <w:right w:val="none" w:sz="0" w:space="0" w:color="auto"/>
          </w:divBdr>
          <w:divsChild>
            <w:div w:id="2020037562">
              <w:marLeft w:val="0"/>
              <w:marRight w:val="0"/>
              <w:marTop w:val="0"/>
              <w:marBottom w:val="0"/>
              <w:divBdr>
                <w:top w:val="none" w:sz="0" w:space="0" w:color="auto"/>
                <w:left w:val="none" w:sz="0" w:space="0" w:color="auto"/>
                <w:bottom w:val="none" w:sz="0" w:space="0" w:color="auto"/>
                <w:right w:val="none" w:sz="0" w:space="0" w:color="auto"/>
              </w:divBdr>
              <w:divsChild>
                <w:div w:id="1657340317">
                  <w:marLeft w:val="0"/>
                  <w:marRight w:val="0"/>
                  <w:marTop w:val="0"/>
                  <w:marBottom w:val="0"/>
                  <w:divBdr>
                    <w:top w:val="none" w:sz="0" w:space="0" w:color="auto"/>
                    <w:left w:val="none" w:sz="0" w:space="0" w:color="auto"/>
                    <w:bottom w:val="none" w:sz="0" w:space="0" w:color="auto"/>
                    <w:right w:val="none" w:sz="0" w:space="0" w:color="auto"/>
                  </w:divBdr>
                  <w:divsChild>
                    <w:div w:id="1066804566">
                      <w:marLeft w:val="0"/>
                      <w:marRight w:val="0"/>
                      <w:marTop w:val="0"/>
                      <w:marBottom w:val="0"/>
                      <w:divBdr>
                        <w:top w:val="none" w:sz="0" w:space="0" w:color="auto"/>
                        <w:left w:val="none" w:sz="0" w:space="0" w:color="auto"/>
                        <w:bottom w:val="none" w:sz="0" w:space="0" w:color="auto"/>
                        <w:right w:val="none" w:sz="0" w:space="0" w:color="auto"/>
                      </w:divBdr>
                      <w:divsChild>
                        <w:div w:id="1272084550">
                          <w:marLeft w:val="0"/>
                          <w:marRight w:val="0"/>
                          <w:marTop w:val="0"/>
                          <w:marBottom w:val="0"/>
                          <w:divBdr>
                            <w:top w:val="none" w:sz="0" w:space="0" w:color="auto"/>
                            <w:left w:val="none" w:sz="0" w:space="0" w:color="auto"/>
                            <w:bottom w:val="none" w:sz="0" w:space="0" w:color="auto"/>
                            <w:right w:val="none" w:sz="0" w:space="0" w:color="auto"/>
                          </w:divBdr>
                          <w:divsChild>
                            <w:div w:id="617372884">
                              <w:marLeft w:val="0"/>
                              <w:marRight w:val="0"/>
                              <w:marTop w:val="0"/>
                              <w:marBottom w:val="0"/>
                              <w:divBdr>
                                <w:top w:val="none" w:sz="0" w:space="0" w:color="auto"/>
                                <w:left w:val="none" w:sz="0" w:space="0" w:color="auto"/>
                                <w:bottom w:val="none" w:sz="0" w:space="0" w:color="auto"/>
                                <w:right w:val="none" w:sz="0" w:space="0" w:color="auto"/>
                              </w:divBdr>
                              <w:divsChild>
                                <w:div w:id="1563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EE1C42"/>
    <w:rsid w:val="00113287"/>
    <w:rsid w:val="00437D8A"/>
    <w:rsid w:val="00463D18"/>
    <w:rsid w:val="00480CED"/>
    <w:rsid w:val="007C1010"/>
    <w:rsid w:val="00840C31"/>
    <w:rsid w:val="00A856DB"/>
    <w:rsid w:val="00B77A7E"/>
    <w:rsid w:val="00BF127B"/>
    <w:rsid w:val="00D63B3E"/>
    <w:rsid w:val="00EE1C4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C21B7DEB13D4BF7864E8994C4EC96E1">
    <w:name w:val="6C21B7DEB13D4BF7864E8994C4EC96E1"/>
    <w:rsid w:val="00EE1C42"/>
  </w:style>
  <w:style w:type="paragraph" w:customStyle="1" w:styleId="D548EFB45B8343A18EA8DBD42BCB6D06">
    <w:name w:val="D548EFB45B8343A18EA8DBD42BCB6D06"/>
    <w:rsid w:val="00EE1C42"/>
  </w:style>
  <w:style w:type="paragraph" w:customStyle="1" w:styleId="8CAA1D0E70F441089F331008823B4E83">
    <w:name w:val="8CAA1D0E70F441089F331008823B4E83"/>
    <w:rsid w:val="00EE1C42"/>
  </w:style>
  <w:style w:type="paragraph" w:customStyle="1" w:styleId="80EB5C0BC3754A3281774F52A9822AA5">
    <w:name w:val="80EB5C0BC3754A3281774F52A9822AA5"/>
    <w:rsid w:val="00EE1C42"/>
  </w:style>
  <w:style w:type="paragraph" w:customStyle="1" w:styleId="06B0F5E46368497E972630B8AC12E286">
    <w:name w:val="06B0F5E46368497E972630B8AC12E286"/>
    <w:rsid w:val="00EE1C42"/>
  </w:style>
  <w:style w:type="character" w:styleId="Pladsholdertekst">
    <w:name w:val="Placeholder Text"/>
    <w:basedOn w:val="Standardskrifttypeiafsnit"/>
    <w:uiPriority w:val="99"/>
    <w:semiHidden/>
    <w:rsid w:val="007C1010"/>
    <w:rPr>
      <w:color w:val="808080"/>
    </w:rPr>
  </w:style>
  <w:style w:type="paragraph" w:customStyle="1" w:styleId="BC49E9881C0C4280B9657E4B827784DD">
    <w:name w:val="BC49E9881C0C4280B9657E4B827784DD"/>
    <w:rsid w:val="00437D8A"/>
  </w:style>
  <w:style w:type="paragraph" w:customStyle="1" w:styleId="D8434E2C150B4EE686A7CF53D65D4801">
    <w:name w:val="D8434E2C150B4EE686A7CF53D65D4801"/>
    <w:rsid w:val="00437D8A"/>
  </w:style>
  <w:style w:type="paragraph" w:customStyle="1" w:styleId="8044DC5852054578BC2DFBB985A92AB0">
    <w:name w:val="8044DC5852054578BC2DFBB985A92AB0"/>
    <w:rsid w:val="00437D8A"/>
  </w:style>
  <w:style w:type="paragraph" w:customStyle="1" w:styleId="3DE6C1252DAC4383999FBE4CC9BBD586">
    <w:name w:val="3DE6C1252DAC4383999FBE4CC9BBD586"/>
    <w:rsid w:val="00437D8A"/>
  </w:style>
  <w:style w:type="paragraph" w:customStyle="1" w:styleId="0C3D87C58D53407EB0C5D1E59F3D234A">
    <w:name w:val="0C3D87C58D53407EB0C5D1E59F3D234A"/>
    <w:rsid w:val="00437D8A"/>
  </w:style>
  <w:style w:type="paragraph" w:customStyle="1" w:styleId="65F1F416E19F4A6387772B79C8165A66">
    <w:name w:val="65F1F416E19F4A6387772B79C8165A66"/>
    <w:rsid w:val="00437D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2642B-06EF-45F9-92D1-B2A6B0D4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7599</TotalTime>
  <Pages>14</Pages>
  <Words>3274</Words>
  <Characters>19976</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A/M Invest</vt:lpstr>
    </vt:vector>
  </TitlesOfParts>
  <Company>Mads Svendsen &amp; Asger Vibel</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Invest</dc:title>
  <dc:subject>Investeringsprofil</dc:subject>
  <dc:creator>Mads Svendsen  &amp; Asger Vibel</dc:creator>
  <cp:keywords/>
  <dc:description/>
  <cp:lastModifiedBy>Mads Svendsen</cp:lastModifiedBy>
  <cp:revision>26</cp:revision>
  <dcterms:created xsi:type="dcterms:W3CDTF">2010-10-08T16:00:00Z</dcterms:created>
  <dcterms:modified xsi:type="dcterms:W3CDTF">2010-11-14T20:24:00Z</dcterms:modified>
</cp:coreProperties>
</file>